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91C" w:rsidRDefault="0046491C" w:rsidP="00701720">
      <w:pPr>
        <w:spacing w:after="0" w:line="360" w:lineRule="auto"/>
        <w:jc w:val="both"/>
        <w:rPr>
          <w:rFonts w:ascii="Palatino Linotype" w:hAnsi="Palatino Linotype" w:cs="Arial"/>
          <w:b/>
          <w:sz w:val="24"/>
          <w:szCs w:val="24"/>
        </w:rPr>
      </w:pPr>
      <w:r w:rsidRPr="00701720">
        <w:rPr>
          <w:rFonts w:ascii="Palatino Linotype" w:hAnsi="Palatino Linotype" w:cs="Arial"/>
          <w:b/>
          <w:sz w:val="24"/>
          <w:szCs w:val="24"/>
        </w:rPr>
        <w:t>VOTO PARTICULAR DEL COMISIONADO JOSÉ GUADA</w:t>
      </w:r>
      <w:r w:rsidR="00D72985" w:rsidRPr="00701720">
        <w:rPr>
          <w:rFonts w:ascii="Palatino Linotype" w:hAnsi="Palatino Linotype" w:cs="Arial"/>
          <w:b/>
          <w:sz w:val="24"/>
          <w:szCs w:val="24"/>
        </w:rPr>
        <w:t>LUPE LUNA HERNÁNDEZ DEL RECURSO</w:t>
      </w:r>
      <w:r w:rsidR="007C168F">
        <w:rPr>
          <w:rFonts w:ascii="Palatino Linotype" w:hAnsi="Palatino Linotype" w:cs="Arial"/>
          <w:b/>
          <w:sz w:val="24"/>
          <w:szCs w:val="24"/>
        </w:rPr>
        <w:t xml:space="preserve"> DE REVISIÓN 02309/INFOEM/IP/RR/2018</w:t>
      </w:r>
      <w:r w:rsidR="000D21B2">
        <w:rPr>
          <w:rFonts w:ascii="Palatino Linotype" w:hAnsi="Palatino Linotype" w:cs="Arial"/>
          <w:b/>
          <w:sz w:val="24"/>
          <w:szCs w:val="24"/>
        </w:rPr>
        <w:t xml:space="preserve"> y acumulados</w:t>
      </w:r>
      <w:r w:rsidR="0000525F" w:rsidRPr="00701720">
        <w:rPr>
          <w:rFonts w:ascii="Palatino Linotype" w:hAnsi="Palatino Linotype" w:cs="Arial"/>
          <w:b/>
          <w:sz w:val="24"/>
          <w:szCs w:val="24"/>
        </w:rPr>
        <w:t>.</w:t>
      </w:r>
    </w:p>
    <w:p w:rsidR="007B0C38" w:rsidRPr="00701720" w:rsidRDefault="007B0C38" w:rsidP="00701720">
      <w:pPr>
        <w:spacing w:after="0" w:line="360" w:lineRule="auto"/>
        <w:jc w:val="both"/>
        <w:rPr>
          <w:rFonts w:ascii="Palatino Linotype" w:hAnsi="Palatino Linotype" w:cs="Arial"/>
          <w:sz w:val="24"/>
          <w:szCs w:val="24"/>
        </w:rPr>
      </w:pPr>
    </w:p>
    <w:p w:rsidR="00902248" w:rsidRPr="00701720" w:rsidRDefault="00902248" w:rsidP="00701720">
      <w:pPr>
        <w:spacing w:after="0" w:line="360" w:lineRule="auto"/>
        <w:jc w:val="both"/>
        <w:rPr>
          <w:rFonts w:ascii="Palatino Linotype" w:hAnsi="Palatino Linotype" w:cs="Arial"/>
          <w:sz w:val="24"/>
          <w:szCs w:val="24"/>
        </w:rPr>
      </w:pPr>
    </w:p>
    <w:p w:rsidR="0046491C" w:rsidRPr="00701720" w:rsidRDefault="00721927" w:rsidP="00701720">
      <w:pPr>
        <w:spacing w:after="0" w:line="360" w:lineRule="auto"/>
        <w:jc w:val="both"/>
        <w:rPr>
          <w:rFonts w:ascii="Palatino Linotype" w:hAnsi="Palatino Linotype" w:cs="Arial"/>
          <w:b/>
          <w:sz w:val="24"/>
          <w:szCs w:val="24"/>
        </w:rPr>
      </w:pPr>
      <w:r>
        <w:rPr>
          <w:rFonts w:ascii="Palatino Linotype" w:hAnsi="Palatino Linotype" w:cs="Arial"/>
          <w:b/>
          <w:sz w:val="24"/>
          <w:szCs w:val="24"/>
        </w:rPr>
        <w:t>Resumen del voto</w:t>
      </w:r>
      <w:r w:rsidR="0046491C" w:rsidRPr="00701720">
        <w:rPr>
          <w:rFonts w:ascii="Palatino Linotype" w:hAnsi="Palatino Linotype" w:cs="Arial"/>
          <w:b/>
          <w:sz w:val="24"/>
          <w:szCs w:val="24"/>
        </w:rPr>
        <w:t>:</w:t>
      </w:r>
    </w:p>
    <w:p w:rsidR="00902248" w:rsidRPr="00701720" w:rsidRDefault="00902248" w:rsidP="00701720">
      <w:pPr>
        <w:spacing w:after="0" w:line="360" w:lineRule="auto"/>
        <w:jc w:val="both"/>
        <w:rPr>
          <w:rFonts w:ascii="Palatino Linotype" w:hAnsi="Palatino Linotype" w:cs="Arial"/>
          <w:sz w:val="24"/>
          <w:szCs w:val="24"/>
        </w:rPr>
      </w:pPr>
    </w:p>
    <w:p w:rsidR="00902248" w:rsidRPr="00701720" w:rsidRDefault="00A84F55" w:rsidP="00701720">
      <w:pPr>
        <w:spacing w:after="0" w:line="360" w:lineRule="auto"/>
        <w:jc w:val="both"/>
        <w:rPr>
          <w:rFonts w:ascii="Palatino Linotype" w:hAnsi="Palatino Linotype" w:cs="Arial"/>
          <w:b/>
          <w:sz w:val="24"/>
          <w:szCs w:val="24"/>
        </w:rPr>
      </w:pPr>
      <w:r w:rsidRPr="00701720">
        <w:rPr>
          <w:rFonts w:ascii="Palatino Linotype" w:hAnsi="Palatino Linotype" w:cs="Arial"/>
          <w:sz w:val="24"/>
          <w:szCs w:val="24"/>
        </w:rPr>
        <w:t xml:space="preserve">El sentido de la resolución debe ir acorde al fondo del asunto, siendo </w:t>
      </w:r>
      <w:r w:rsidR="00701720" w:rsidRPr="00701720">
        <w:rPr>
          <w:rFonts w:ascii="Palatino Linotype" w:hAnsi="Palatino Linotype" w:cs="Arial"/>
          <w:sz w:val="24"/>
          <w:szCs w:val="24"/>
        </w:rPr>
        <w:t>así</w:t>
      </w:r>
      <w:r w:rsidR="00721927">
        <w:rPr>
          <w:rFonts w:ascii="Palatino Linotype" w:hAnsi="Palatino Linotype" w:cs="Arial"/>
          <w:sz w:val="24"/>
          <w:szCs w:val="24"/>
        </w:rPr>
        <w:t xml:space="preserve"> que deben observar</w:t>
      </w:r>
      <w:r w:rsidRPr="00701720">
        <w:rPr>
          <w:rFonts w:ascii="Palatino Linotype" w:hAnsi="Palatino Linotype" w:cs="Arial"/>
          <w:sz w:val="24"/>
          <w:szCs w:val="24"/>
        </w:rPr>
        <w:t xml:space="preserve"> </w:t>
      </w:r>
      <w:r w:rsidR="00721927">
        <w:rPr>
          <w:rFonts w:ascii="Palatino Linotype" w:hAnsi="Palatino Linotype" w:cs="Arial"/>
          <w:sz w:val="24"/>
          <w:szCs w:val="24"/>
        </w:rPr>
        <w:t>los elementos que aporten las partes durante la sustanciación del procedimiento en cuestión, de forma tal que a través de ellos se aprecie de manera clara, los motivos que obligaron a resolver de determinada manera, de lo contrario, no se cumple con el principio de objetividad que rige al Órgano Garante.</w:t>
      </w:r>
      <w:r w:rsidR="00721927" w:rsidRPr="00701720">
        <w:rPr>
          <w:rFonts w:ascii="Palatino Linotype" w:hAnsi="Palatino Linotype" w:cs="Arial"/>
          <w:b/>
          <w:sz w:val="24"/>
          <w:szCs w:val="24"/>
        </w:rPr>
        <w:t xml:space="preserve"> </w:t>
      </w:r>
    </w:p>
    <w:p w:rsidR="00701720" w:rsidRPr="00701720" w:rsidRDefault="00E8253D" w:rsidP="00701720">
      <w:pPr>
        <w:spacing w:after="0" w:line="360" w:lineRule="auto"/>
        <w:jc w:val="both"/>
        <w:rPr>
          <w:rFonts w:ascii="Palatino Linotype" w:hAnsi="Palatino Linotype" w:cs="Arial"/>
          <w:b/>
          <w:sz w:val="24"/>
          <w:szCs w:val="24"/>
        </w:rPr>
      </w:pPr>
      <w:r>
        <w:rPr>
          <w:rFonts w:ascii="Palatino Linotype" w:hAnsi="Palatino Linotype" w:cs="Arial"/>
          <w:b/>
          <w:noProof/>
          <w:sz w:val="24"/>
          <w:szCs w:val="24"/>
          <w:lang w:eastAsia="es-MX"/>
        </w:rPr>
        <mc:AlternateContent>
          <mc:Choice Requires="wps">
            <w:drawing>
              <wp:anchor distT="0" distB="0" distL="114300" distR="114300" simplePos="0" relativeHeight="251662336" behindDoc="0" locked="0" layoutInCell="1" allowOverlap="1">
                <wp:simplePos x="0" y="0"/>
                <wp:positionH relativeFrom="column">
                  <wp:posOffset>72389</wp:posOffset>
                </wp:positionH>
                <wp:positionV relativeFrom="paragraph">
                  <wp:posOffset>140969</wp:posOffset>
                </wp:positionV>
                <wp:extent cx="5495925" cy="3781425"/>
                <wp:effectExtent l="0" t="0" r="28575" b="28575"/>
                <wp:wrapNone/>
                <wp:docPr id="4" name="Conector recto 4"/>
                <wp:cNvGraphicFramePr/>
                <a:graphic xmlns:a="http://schemas.openxmlformats.org/drawingml/2006/main">
                  <a:graphicData uri="http://schemas.microsoft.com/office/word/2010/wordprocessingShape">
                    <wps:wsp>
                      <wps:cNvCnPr/>
                      <wps:spPr>
                        <a:xfrm>
                          <a:off x="0" y="0"/>
                          <a:ext cx="5495925" cy="37814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8FB1BA" id="Conector recto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7pt,11.1pt" to="438.45pt,30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" strokecolor="#5b9bd5 [3204]" strokeweight=".5pt">
                <v:stroke joinstyle="miter"/>
              </v:line>
            </w:pict>
          </mc:Fallback>
        </mc:AlternateContent>
      </w:r>
    </w:p>
    <w:p w:rsidR="00701720" w:rsidRPr="00701720" w:rsidRDefault="00701720" w:rsidP="00701720">
      <w:pPr>
        <w:spacing w:after="0" w:line="360" w:lineRule="auto"/>
        <w:jc w:val="both"/>
        <w:rPr>
          <w:rFonts w:ascii="Palatino Linotype" w:hAnsi="Palatino Linotype" w:cs="Arial"/>
          <w:b/>
          <w:sz w:val="24"/>
          <w:szCs w:val="24"/>
        </w:rPr>
      </w:pPr>
      <w:bookmarkStart w:id="0" w:name="_GoBack"/>
      <w:bookmarkEnd w:id="0"/>
    </w:p>
    <w:p w:rsidR="00701720" w:rsidRPr="00701720" w:rsidRDefault="00701720" w:rsidP="00701720">
      <w:pPr>
        <w:spacing w:after="0" w:line="360" w:lineRule="auto"/>
        <w:jc w:val="both"/>
        <w:rPr>
          <w:rFonts w:ascii="Palatino Linotype" w:hAnsi="Palatino Linotype" w:cs="Arial"/>
          <w:b/>
          <w:sz w:val="24"/>
          <w:szCs w:val="24"/>
        </w:rPr>
      </w:pPr>
    </w:p>
    <w:p w:rsidR="00701720" w:rsidRPr="00701720" w:rsidRDefault="00701720" w:rsidP="00701720">
      <w:pPr>
        <w:spacing w:after="0" w:line="360" w:lineRule="auto"/>
        <w:jc w:val="both"/>
        <w:rPr>
          <w:rFonts w:ascii="Palatino Linotype" w:hAnsi="Palatino Linotype" w:cs="Arial"/>
          <w:b/>
          <w:sz w:val="24"/>
          <w:szCs w:val="24"/>
        </w:rPr>
      </w:pPr>
    </w:p>
    <w:p w:rsidR="00701720" w:rsidRPr="00701720" w:rsidRDefault="00701720" w:rsidP="00701720">
      <w:pPr>
        <w:spacing w:after="0" w:line="360" w:lineRule="auto"/>
        <w:jc w:val="both"/>
        <w:rPr>
          <w:rFonts w:ascii="Palatino Linotype" w:hAnsi="Palatino Linotype" w:cs="Arial"/>
          <w:b/>
          <w:sz w:val="24"/>
          <w:szCs w:val="24"/>
        </w:rPr>
      </w:pPr>
    </w:p>
    <w:p w:rsidR="00701720" w:rsidRPr="00701720" w:rsidRDefault="00701720" w:rsidP="00701720">
      <w:pPr>
        <w:spacing w:after="0" w:line="360" w:lineRule="auto"/>
        <w:jc w:val="both"/>
        <w:rPr>
          <w:rFonts w:ascii="Palatino Linotype" w:hAnsi="Palatino Linotype" w:cs="Arial"/>
          <w:b/>
          <w:sz w:val="24"/>
          <w:szCs w:val="24"/>
        </w:rPr>
      </w:pPr>
    </w:p>
    <w:p w:rsidR="00701720" w:rsidRDefault="00701720" w:rsidP="00701720">
      <w:pPr>
        <w:spacing w:after="0" w:line="360" w:lineRule="auto"/>
        <w:jc w:val="both"/>
        <w:rPr>
          <w:rFonts w:ascii="Palatino Linotype" w:hAnsi="Palatino Linotype" w:cs="Arial"/>
          <w:b/>
          <w:sz w:val="24"/>
          <w:szCs w:val="24"/>
        </w:rPr>
      </w:pPr>
    </w:p>
    <w:p w:rsidR="00721927" w:rsidRDefault="00721927" w:rsidP="00701720">
      <w:pPr>
        <w:spacing w:after="0" w:line="360" w:lineRule="auto"/>
        <w:jc w:val="both"/>
        <w:rPr>
          <w:rFonts w:ascii="Palatino Linotype" w:hAnsi="Palatino Linotype" w:cs="Arial"/>
          <w:b/>
          <w:sz w:val="24"/>
          <w:szCs w:val="24"/>
        </w:rPr>
      </w:pPr>
    </w:p>
    <w:p w:rsidR="00721927" w:rsidRDefault="00721927" w:rsidP="00701720">
      <w:pPr>
        <w:spacing w:after="0" w:line="360" w:lineRule="auto"/>
        <w:jc w:val="both"/>
        <w:rPr>
          <w:rFonts w:ascii="Palatino Linotype" w:hAnsi="Palatino Linotype" w:cs="Arial"/>
          <w:b/>
          <w:sz w:val="24"/>
          <w:szCs w:val="24"/>
        </w:rPr>
      </w:pPr>
    </w:p>
    <w:p w:rsidR="00721927" w:rsidRPr="00701720" w:rsidRDefault="00721927" w:rsidP="00701720">
      <w:pPr>
        <w:spacing w:after="0" w:line="360" w:lineRule="auto"/>
        <w:jc w:val="both"/>
        <w:rPr>
          <w:rFonts w:ascii="Palatino Linotype" w:hAnsi="Palatino Linotype" w:cs="Arial"/>
          <w:b/>
          <w:sz w:val="24"/>
          <w:szCs w:val="24"/>
        </w:rPr>
      </w:pPr>
    </w:p>
    <w:p w:rsidR="0046491C" w:rsidRPr="00701720" w:rsidRDefault="0046491C" w:rsidP="00701720">
      <w:pPr>
        <w:spacing w:after="0" w:line="360" w:lineRule="auto"/>
        <w:jc w:val="both"/>
        <w:rPr>
          <w:rFonts w:ascii="Palatino Linotype" w:hAnsi="Palatino Linotype" w:cs="Arial"/>
          <w:sz w:val="24"/>
          <w:szCs w:val="24"/>
        </w:rPr>
      </w:pPr>
      <w:r w:rsidRPr="00701720">
        <w:rPr>
          <w:rFonts w:ascii="Palatino Linotype" w:hAnsi="Palatino Linotype" w:cs="Arial"/>
          <w:b/>
          <w:sz w:val="24"/>
          <w:szCs w:val="24"/>
        </w:rPr>
        <w:lastRenderedPageBreak/>
        <w:t>Índice</w:t>
      </w:r>
    </w:p>
    <w:sdt>
      <w:sdtPr>
        <w:rPr>
          <w:rFonts w:ascii="Palatino Linotype" w:eastAsiaTheme="minorHAnsi" w:hAnsi="Palatino Linotype" w:cstheme="minorBidi"/>
          <w:color w:val="auto"/>
          <w:sz w:val="22"/>
          <w:szCs w:val="22"/>
          <w:lang w:val="es-ES" w:eastAsia="en-US"/>
        </w:rPr>
        <w:id w:val="-1628690016"/>
        <w:docPartObj>
          <w:docPartGallery w:val="Table of Contents"/>
          <w:docPartUnique/>
        </w:docPartObj>
      </w:sdtPr>
      <w:sdtEndPr>
        <w:rPr>
          <w:b/>
          <w:bCs/>
        </w:rPr>
      </w:sdtEndPr>
      <w:sdtContent>
        <w:p w:rsidR="0046491C" w:rsidRPr="00701720" w:rsidRDefault="0046491C" w:rsidP="00701720">
          <w:pPr>
            <w:pStyle w:val="TtulodeTDC"/>
            <w:spacing w:line="360" w:lineRule="auto"/>
            <w:rPr>
              <w:rFonts w:ascii="Palatino Linotype" w:hAnsi="Palatino Linotype"/>
            </w:rPr>
          </w:pPr>
        </w:p>
        <w:p w:rsidR="00E8253D" w:rsidRDefault="0046491C">
          <w:pPr>
            <w:pStyle w:val="TDC1"/>
            <w:tabs>
              <w:tab w:val="left" w:pos="440"/>
              <w:tab w:val="right" w:leader="dot" w:pos="8828"/>
            </w:tabs>
            <w:rPr>
              <w:rFonts w:eastAsiaTheme="minorEastAsia"/>
              <w:noProof/>
              <w:lang w:eastAsia="es-MX"/>
            </w:rPr>
          </w:pPr>
          <w:r w:rsidRPr="00701720">
            <w:rPr>
              <w:rFonts w:ascii="Palatino Linotype" w:hAnsi="Palatino Linotype"/>
            </w:rPr>
            <w:fldChar w:fldCharType="begin"/>
          </w:r>
          <w:r w:rsidRPr="00701720">
            <w:rPr>
              <w:rFonts w:ascii="Palatino Linotype" w:hAnsi="Palatino Linotype"/>
            </w:rPr>
            <w:instrText xml:space="preserve"> TOC \o "1-3" \h \z \u </w:instrText>
          </w:r>
          <w:r w:rsidRPr="00701720">
            <w:rPr>
              <w:rFonts w:ascii="Palatino Linotype" w:hAnsi="Palatino Linotype"/>
            </w:rPr>
            <w:fldChar w:fldCharType="separate"/>
          </w:r>
          <w:hyperlink w:anchor="_Toc522548294" w:history="1">
            <w:r w:rsidR="00E8253D" w:rsidRPr="00216C15">
              <w:rPr>
                <w:rStyle w:val="Hipervnculo"/>
                <w:rFonts w:ascii="Palatino Linotype" w:hAnsi="Palatino Linotype"/>
                <w:b/>
                <w:noProof/>
              </w:rPr>
              <w:t>I.</w:t>
            </w:r>
            <w:r w:rsidR="00E8253D">
              <w:rPr>
                <w:rFonts w:eastAsiaTheme="minorEastAsia"/>
                <w:noProof/>
                <w:lang w:eastAsia="es-MX"/>
              </w:rPr>
              <w:tab/>
            </w:r>
            <w:r w:rsidR="00E8253D" w:rsidRPr="00216C15">
              <w:rPr>
                <w:rStyle w:val="Hipervnculo"/>
                <w:rFonts w:ascii="Palatino Linotype" w:hAnsi="Palatino Linotype"/>
                <w:b/>
                <w:noProof/>
              </w:rPr>
              <w:t>Consideraciones Generales.</w:t>
            </w:r>
            <w:r w:rsidR="00E8253D">
              <w:rPr>
                <w:noProof/>
                <w:webHidden/>
              </w:rPr>
              <w:tab/>
            </w:r>
            <w:r w:rsidR="00E8253D">
              <w:rPr>
                <w:noProof/>
                <w:webHidden/>
              </w:rPr>
              <w:fldChar w:fldCharType="begin"/>
            </w:r>
            <w:r w:rsidR="00E8253D">
              <w:rPr>
                <w:noProof/>
                <w:webHidden/>
              </w:rPr>
              <w:instrText xml:space="preserve"> PAGEREF _Toc522548294 \h </w:instrText>
            </w:r>
            <w:r w:rsidR="00E8253D">
              <w:rPr>
                <w:noProof/>
                <w:webHidden/>
              </w:rPr>
            </w:r>
            <w:r w:rsidR="00E8253D">
              <w:rPr>
                <w:noProof/>
                <w:webHidden/>
              </w:rPr>
              <w:fldChar w:fldCharType="separate"/>
            </w:r>
            <w:r w:rsidR="00E8253D">
              <w:rPr>
                <w:noProof/>
                <w:webHidden/>
              </w:rPr>
              <w:t>2</w:t>
            </w:r>
            <w:r w:rsidR="00E8253D">
              <w:rPr>
                <w:noProof/>
                <w:webHidden/>
              </w:rPr>
              <w:fldChar w:fldCharType="end"/>
            </w:r>
          </w:hyperlink>
        </w:p>
        <w:p w:rsidR="00E8253D" w:rsidRDefault="00C21A65">
          <w:pPr>
            <w:pStyle w:val="TDC1"/>
            <w:tabs>
              <w:tab w:val="left" w:pos="660"/>
              <w:tab w:val="right" w:leader="dot" w:pos="8828"/>
            </w:tabs>
            <w:rPr>
              <w:rFonts w:eastAsiaTheme="minorEastAsia"/>
              <w:noProof/>
              <w:lang w:eastAsia="es-MX"/>
            </w:rPr>
          </w:pPr>
          <w:hyperlink w:anchor="_Toc522548295" w:history="1">
            <w:r w:rsidR="00E8253D" w:rsidRPr="00216C15">
              <w:rPr>
                <w:rStyle w:val="Hipervnculo"/>
                <w:rFonts w:ascii="Palatino Linotype" w:hAnsi="Palatino Linotype"/>
                <w:b/>
                <w:noProof/>
              </w:rPr>
              <w:t>II.</w:t>
            </w:r>
            <w:r w:rsidR="00E8253D">
              <w:rPr>
                <w:rFonts w:eastAsiaTheme="minorEastAsia"/>
                <w:noProof/>
                <w:lang w:eastAsia="es-MX"/>
              </w:rPr>
              <w:tab/>
            </w:r>
            <w:r w:rsidR="00E8253D" w:rsidRPr="00216C15">
              <w:rPr>
                <w:rStyle w:val="Hipervnculo"/>
                <w:rFonts w:ascii="Palatino Linotype" w:hAnsi="Palatino Linotype"/>
                <w:b/>
                <w:noProof/>
              </w:rPr>
              <w:t>De los requerimientos planteados en el recurso de revisión.</w:t>
            </w:r>
            <w:r w:rsidR="00E8253D">
              <w:rPr>
                <w:noProof/>
                <w:webHidden/>
              </w:rPr>
              <w:tab/>
            </w:r>
            <w:r w:rsidR="00E8253D">
              <w:rPr>
                <w:noProof/>
                <w:webHidden/>
              </w:rPr>
              <w:fldChar w:fldCharType="begin"/>
            </w:r>
            <w:r w:rsidR="00E8253D">
              <w:rPr>
                <w:noProof/>
                <w:webHidden/>
              </w:rPr>
              <w:instrText xml:space="preserve"> PAGEREF _Toc522548295 \h </w:instrText>
            </w:r>
            <w:r w:rsidR="00E8253D">
              <w:rPr>
                <w:noProof/>
                <w:webHidden/>
              </w:rPr>
            </w:r>
            <w:r w:rsidR="00E8253D">
              <w:rPr>
                <w:noProof/>
                <w:webHidden/>
              </w:rPr>
              <w:fldChar w:fldCharType="separate"/>
            </w:r>
            <w:r w:rsidR="00E8253D">
              <w:rPr>
                <w:noProof/>
                <w:webHidden/>
              </w:rPr>
              <w:t>3</w:t>
            </w:r>
            <w:r w:rsidR="00E8253D">
              <w:rPr>
                <w:noProof/>
                <w:webHidden/>
              </w:rPr>
              <w:fldChar w:fldCharType="end"/>
            </w:r>
          </w:hyperlink>
        </w:p>
        <w:p w:rsidR="00E8253D" w:rsidRDefault="00C21A65">
          <w:pPr>
            <w:pStyle w:val="TDC1"/>
            <w:tabs>
              <w:tab w:val="left" w:pos="660"/>
              <w:tab w:val="right" w:leader="dot" w:pos="8828"/>
            </w:tabs>
            <w:rPr>
              <w:rFonts w:eastAsiaTheme="minorEastAsia"/>
              <w:noProof/>
              <w:lang w:eastAsia="es-MX"/>
            </w:rPr>
          </w:pPr>
          <w:hyperlink w:anchor="_Toc522548296" w:history="1">
            <w:r w:rsidR="00E8253D" w:rsidRPr="00216C15">
              <w:rPr>
                <w:rStyle w:val="Hipervnculo"/>
                <w:rFonts w:ascii="Palatino Linotype" w:hAnsi="Palatino Linotype"/>
                <w:b/>
                <w:noProof/>
              </w:rPr>
              <w:t>III.</w:t>
            </w:r>
            <w:r w:rsidR="00E8253D">
              <w:rPr>
                <w:rFonts w:eastAsiaTheme="minorEastAsia"/>
                <w:noProof/>
                <w:lang w:eastAsia="es-MX"/>
              </w:rPr>
              <w:tab/>
            </w:r>
            <w:r w:rsidR="00E8253D" w:rsidRPr="00216C15">
              <w:rPr>
                <w:rStyle w:val="Hipervnculo"/>
                <w:rFonts w:ascii="Palatino Linotype" w:hAnsi="Palatino Linotype"/>
                <w:b/>
                <w:noProof/>
              </w:rPr>
              <w:t>Del sobreseimiento</w:t>
            </w:r>
            <w:r w:rsidR="00E8253D">
              <w:rPr>
                <w:noProof/>
                <w:webHidden/>
              </w:rPr>
              <w:tab/>
            </w:r>
            <w:r w:rsidR="00E8253D">
              <w:rPr>
                <w:noProof/>
                <w:webHidden/>
              </w:rPr>
              <w:fldChar w:fldCharType="begin"/>
            </w:r>
            <w:r w:rsidR="00E8253D">
              <w:rPr>
                <w:noProof/>
                <w:webHidden/>
              </w:rPr>
              <w:instrText xml:space="preserve"> PAGEREF _Toc522548296 \h </w:instrText>
            </w:r>
            <w:r w:rsidR="00E8253D">
              <w:rPr>
                <w:noProof/>
                <w:webHidden/>
              </w:rPr>
            </w:r>
            <w:r w:rsidR="00E8253D">
              <w:rPr>
                <w:noProof/>
                <w:webHidden/>
              </w:rPr>
              <w:fldChar w:fldCharType="separate"/>
            </w:r>
            <w:r w:rsidR="00E8253D">
              <w:rPr>
                <w:noProof/>
                <w:webHidden/>
              </w:rPr>
              <w:t>4</w:t>
            </w:r>
            <w:r w:rsidR="00E8253D">
              <w:rPr>
                <w:noProof/>
                <w:webHidden/>
              </w:rPr>
              <w:fldChar w:fldCharType="end"/>
            </w:r>
          </w:hyperlink>
        </w:p>
        <w:p w:rsidR="00E8253D" w:rsidRDefault="00C21A65">
          <w:pPr>
            <w:pStyle w:val="TDC1"/>
            <w:tabs>
              <w:tab w:val="left" w:pos="660"/>
              <w:tab w:val="right" w:leader="dot" w:pos="8828"/>
            </w:tabs>
            <w:rPr>
              <w:rFonts w:eastAsiaTheme="minorEastAsia"/>
              <w:noProof/>
              <w:lang w:eastAsia="es-MX"/>
            </w:rPr>
          </w:pPr>
          <w:hyperlink w:anchor="_Toc522548297" w:history="1">
            <w:r w:rsidR="00E8253D" w:rsidRPr="00216C15">
              <w:rPr>
                <w:rStyle w:val="Hipervnculo"/>
                <w:rFonts w:ascii="Palatino Linotype" w:hAnsi="Palatino Linotype"/>
                <w:b/>
                <w:noProof/>
              </w:rPr>
              <w:t>IV.</w:t>
            </w:r>
            <w:r w:rsidR="00E8253D">
              <w:rPr>
                <w:rFonts w:eastAsiaTheme="minorEastAsia"/>
                <w:noProof/>
                <w:lang w:eastAsia="es-MX"/>
              </w:rPr>
              <w:tab/>
            </w:r>
            <w:r w:rsidR="00E8253D" w:rsidRPr="00216C15">
              <w:rPr>
                <w:rStyle w:val="Hipervnculo"/>
                <w:rFonts w:ascii="Palatino Linotype" w:hAnsi="Palatino Linotype"/>
                <w:b/>
                <w:noProof/>
              </w:rPr>
              <w:t>Revocar la respuesta del Sujeto Obligado.</w:t>
            </w:r>
            <w:r w:rsidR="00E8253D">
              <w:rPr>
                <w:noProof/>
                <w:webHidden/>
              </w:rPr>
              <w:tab/>
            </w:r>
            <w:r w:rsidR="00E8253D">
              <w:rPr>
                <w:noProof/>
                <w:webHidden/>
              </w:rPr>
              <w:fldChar w:fldCharType="begin"/>
            </w:r>
            <w:r w:rsidR="00E8253D">
              <w:rPr>
                <w:noProof/>
                <w:webHidden/>
              </w:rPr>
              <w:instrText xml:space="preserve"> PAGEREF _Toc522548297 \h </w:instrText>
            </w:r>
            <w:r w:rsidR="00E8253D">
              <w:rPr>
                <w:noProof/>
                <w:webHidden/>
              </w:rPr>
            </w:r>
            <w:r w:rsidR="00E8253D">
              <w:rPr>
                <w:noProof/>
                <w:webHidden/>
              </w:rPr>
              <w:fldChar w:fldCharType="separate"/>
            </w:r>
            <w:r w:rsidR="00E8253D">
              <w:rPr>
                <w:noProof/>
                <w:webHidden/>
              </w:rPr>
              <w:t>7</w:t>
            </w:r>
            <w:r w:rsidR="00E8253D">
              <w:rPr>
                <w:noProof/>
                <w:webHidden/>
              </w:rPr>
              <w:fldChar w:fldCharType="end"/>
            </w:r>
          </w:hyperlink>
        </w:p>
        <w:p w:rsidR="00E8253D" w:rsidRDefault="00C21A65">
          <w:pPr>
            <w:pStyle w:val="TDC1"/>
            <w:tabs>
              <w:tab w:val="left" w:pos="660"/>
              <w:tab w:val="right" w:leader="dot" w:pos="8828"/>
            </w:tabs>
            <w:rPr>
              <w:rFonts w:eastAsiaTheme="minorEastAsia"/>
              <w:noProof/>
              <w:lang w:eastAsia="es-MX"/>
            </w:rPr>
          </w:pPr>
          <w:hyperlink w:anchor="_Toc522548298" w:history="1">
            <w:r w:rsidR="00E8253D" w:rsidRPr="00216C15">
              <w:rPr>
                <w:rStyle w:val="Hipervnculo"/>
                <w:rFonts w:ascii="Palatino Linotype" w:hAnsi="Palatino Linotype"/>
                <w:b/>
                <w:noProof/>
              </w:rPr>
              <w:t>V.</w:t>
            </w:r>
            <w:r w:rsidR="00E8253D">
              <w:rPr>
                <w:rFonts w:eastAsiaTheme="minorEastAsia"/>
                <w:noProof/>
                <w:lang w:eastAsia="es-MX"/>
              </w:rPr>
              <w:tab/>
            </w:r>
            <w:r w:rsidR="00E8253D" w:rsidRPr="00216C15">
              <w:rPr>
                <w:rStyle w:val="Hipervnculo"/>
                <w:rFonts w:ascii="Palatino Linotype" w:hAnsi="Palatino Linotype"/>
                <w:b/>
                <w:noProof/>
              </w:rPr>
              <w:t>El sentido de la resolución debe adecuarse conforme al fondo del asunto.</w:t>
            </w:r>
            <w:r w:rsidR="00E8253D">
              <w:rPr>
                <w:noProof/>
                <w:webHidden/>
              </w:rPr>
              <w:tab/>
            </w:r>
            <w:r w:rsidR="00E8253D">
              <w:rPr>
                <w:noProof/>
                <w:webHidden/>
              </w:rPr>
              <w:fldChar w:fldCharType="begin"/>
            </w:r>
            <w:r w:rsidR="00E8253D">
              <w:rPr>
                <w:noProof/>
                <w:webHidden/>
              </w:rPr>
              <w:instrText xml:space="preserve"> PAGEREF _Toc522548298 \h </w:instrText>
            </w:r>
            <w:r w:rsidR="00E8253D">
              <w:rPr>
                <w:noProof/>
                <w:webHidden/>
              </w:rPr>
            </w:r>
            <w:r w:rsidR="00E8253D">
              <w:rPr>
                <w:noProof/>
                <w:webHidden/>
              </w:rPr>
              <w:fldChar w:fldCharType="separate"/>
            </w:r>
            <w:r w:rsidR="00E8253D">
              <w:rPr>
                <w:noProof/>
                <w:webHidden/>
              </w:rPr>
              <w:t>9</w:t>
            </w:r>
            <w:r w:rsidR="00E8253D">
              <w:rPr>
                <w:noProof/>
                <w:webHidden/>
              </w:rPr>
              <w:fldChar w:fldCharType="end"/>
            </w:r>
          </w:hyperlink>
        </w:p>
        <w:p w:rsidR="00E8253D" w:rsidRDefault="00C21A65">
          <w:pPr>
            <w:pStyle w:val="TDC1"/>
            <w:tabs>
              <w:tab w:val="left" w:pos="660"/>
              <w:tab w:val="right" w:leader="dot" w:pos="8828"/>
            </w:tabs>
            <w:rPr>
              <w:rFonts w:eastAsiaTheme="minorEastAsia"/>
              <w:noProof/>
              <w:lang w:eastAsia="es-MX"/>
            </w:rPr>
          </w:pPr>
          <w:hyperlink w:anchor="_Toc522548299" w:history="1">
            <w:r w:rsidR="00E8253D" w:rsidRPr="00216C15">
              <w:rPr>
                <w:rStyle w:val="Hipervnculo"/>
                <w:rFonts w:ascii="Palatino Linotype" w:hAnsi="Palatino Linotype"/>
                <w:b/>
                <w:noProof/>
              </w:rPr>
              <w:t>VI.</w:t>
            </w:r>
            <w:r w:rsidR="00E8253D">
              <w:rPr>
                <w:rFonts w:eastAsiaTheme="minorEastAsia"/>
                <w:noProof/>
                <w:lang w:eastAsia="es-MX"/>
              </w:rPr>
              <w:tab/>
            </w:r>
            <w:r w:rsidR="00E8253D" w:rsidRPr="00216C15">
              <w:rPr>
                <w:rStyle w:val="Hipervnculo"/>
                <w:rFonts w:ascii="Palatino Linotype" w:hAnsi="Palatino Linotype"/>
                <w:b/>
                <w:noProof/>
              </w:rPr>
              <w:t>Conclusión</w:t>
            </w:r>
            <w:r w:rsidR="00E8253D">
              <w:rPr>
                <w:noProof/>
                <w:webHidden/>
              </w:rPr>
              <w:tab/>
            </w:r>
            <w:r w:rsidR="00E8253D">
              <w:rPr>
                <w:noProof/>
                <w:webHidden/>
              </w:rPr>
              <w:fldChar w:fldCharType="begin"/>
            </w:r>
            <w:r w:rsidR="00E8253D">
              <w:rPr>
                <w:noProof/>
                <w:webHidden/>
              </w:rPr>
              <w:instrText xml:space="preserve"> PAGEREF _Toc522548299 \h </w:instrText>
            </w:r>
            <w:r w:rsidR="00E8253D">
              <w:rPr>
                <w:noProof/>
                <w:webHidden/>
              </w:rPr>
            </w:r>
            <w:r w:rsidR="00E8253D">
              <w:rPr>
                <w:noProof/>
                <w:webHidden/>
              </w:rPr>
              <w:fldChar w:fldCharType="separate"/>
            </w:r>
            <w:r w:rsidR="00E8253D">
              <w:rPr>
                <w:noProof/>
                <w:webHidden/>
              </w:rPr>
              <w:t>10</w:t>
            </w:r>
            <w:r w:rsidR="00E8253D">
              <w:rPr>
                <w:noProof/>
                <w:webHidden/>
              </w:rPr>
              <w:fldChar w:fldCharType="end"/>
            </w:r>
          </w:hyperlink>
        </w:p>
        <w:p w:rsidR="0046491C" w:rsidRPr="00701720" w:rsidRDefault="0046491C" w:rsidP="00701720">
          <w:pPr>
            <w:spacing w:line="360" w:lineRule="auto"/>
            <w:rPr>
              <w:rFonts w:ascii="Palatino Linotype" w:hAnsi="Palatino Linotype"/>
            </w:rPr>
          </w:pPr>
          <w:r w:rsidRPr="00701720">
            <w:rPr>
              <w:rFonts w:ascii="Palatino Linotype" w:hAnsi="Palatino Linotype"/>
              <w:b/>
              <w:bCs/>
              <w:lang w:val="es-ES"/>
            </w:rPr>
            <w:fldChar w:fldCharType="end"/>
          </w:r>
        </w:p>
      </w:sdtContent>
    </w:sdt>
    <w:p w:rsidR="00721927" w:rsidRDefault="00721927" w:rsidP="00721927">
      <w:pPr>
        <w:pStyle w:val="Ttulo1"/>
        <w:spacing w:line="360" w:lineRule="auto"/>
        <w:ind w:left="1080"/>
        <w:rPr>
          <w:rFonts w:ascii="Palatino Linotype" w:hAnsi="Palatino Linotype"/>
          <w:b/>
          <w:color w:val="auto"/>
          <w:sz w:val="24"/>
          <w:szCs w:val="24"/>
        </w:rPr>
      </w:pPr>
    </w:p>
    <w:p w:rsidR="00721927" w:rsidRDefault="00721927" w:rsidP="00721927"/>
    <w:p w:rsidR="00721927" w:rsidRPr="00721927" w:rsidRDefault="00721927" w:rsidP="00721927"/>
    <w:p w:rsidR="0046491C" w:rsidRPr="00701720" w:rsidRDefault="0046491C" w:rsidP="00701720">
      <w:pPr>
        <w:pStyle w:val="Ttulo1"/>
        <w:numPr>
          <w:ilvl w:val="0"/>
          <w:numId w:val="12"/>
        </w:numPr>
        <w:spacing w:line="360" w:lineRule="auto"/>
        <w:rPr>
          <w:rFonts w:ascii="Palatino Linotype" w:hAnsi="Palatino Linotype"/>
          <w:b/>
          <w:color w:val="auto"/>
          <w:sz w:val="24"/>
          <w:szCs w:val="24"/>
        </w:rPr>
      </w:pPr>
      <w:bookmarkStart w:id="1" w:name="_Toc522548294"/>
      <w:r w:rsidRPr="00701720">
        <w:rPr>
          <w:rFonts w:ascii="Palatino Linotype" w:hAnsi="Palatino Linotype"/>
          <w:b/>
          <w:color w:val="auto"/>
          <w:sz w:val="24"/>
          <w:szCs w:val="24"/>
        </w:rPr>
        <w:t>Consideraciones Generales.</w:t>
      </w:r>
      <w:bookmarkEnd w:id="1"/>
    </w:p>
    <w:p w:rsidR="0046491C" w:rsidRPr="00701720" w:rsidRDefault="0046491C" w:rsidP="00701720">
      <w:pPr>
        <w:pStyle w:val="Prrafodelista"/>
        <w:spacing w:after="0" w:line="360" w:lineRule="auto"/>
        <w:ind w:left="1080"/>
        <w:jc w:val="both"/>
        <w:rPr>
          <w:rFonts w:ascii="Palatino Linotype" w:hAnsi="Palatino Linotype" w:cs="Arial"/>
          <w:b/>
          <w:sz w:val="24"/>
          <w:szCs w:val="24"/>
        </w:rPr>
      </w:pPr>
    </w:p>
    <w:p w:rsidR="0046491C" w:rsidRPr="00701720" w:rsidRDefault="0046491C" w:rsidP="00701720">
      <w:pPr>
        <w:pStyle w:val="Prrafodelista"/>
        <w:numPr>
          <w:ilvl w:val="0"/>
          <w:numId w:val="1"/>
        </w:numPr>
        <w:spacing w:after="0" w:line="360" w:lineRule="auto"/>
        <w:ind w:left="426"/>
        <w:jc w:val="both"/>
        <w:rPr>
          <w:rFonts w:ascii="Palatino Linotype" w:hAnsi="Palatino Linotype" w:cs="Arial"/>
          <w:sz w:val="24"/>
          <w:szCs w:val="24"/>
        </w:rPr>
      </w:pPr>
      <w:r w:rsidRPr="00701720">
        <w:rPr>
          <w:rFonts w:ascii="Palatino Linotype" w:eastAsia="Times New Roman" w:hAnsi="Palatino Linotype" w:cs="Arial"/>
          <w:sz w:val="24"/>
          <w:szCs w:val="24"/>
          <w:lang w:val="es-ES_tradnl"/>
        </w:rPr>
        <w:t xml:space="preserve">He concurrido con mi </w:t>
      </w:r>
      <w:r w:rsidR="00D33AF9" w:rsidRPr="00701720">
        <w:rPr>
          <w:rFonts w:ascii="Palatino Linotype" w:eastAsia="Times New Roman" w:hAnsi="Palatino Linotype" w:cs="Arial"/>
          <w:sz w:val="24"/>
          <w:szCs w:val="24"/>
          <w:lang w:val="es-ES_tradnl"/>
        </w:rPr>
        <w:t>voto</w:t>
      </w:r>
      <w:r w:rsidRPr="00701720">
        <w:rPr>
          <w:rFonts w:ascii="Palatino Linotype" w:eastAsia="Times New Roman" w:hAnsi="Palatino Linotype" w:cs="Arial"/>
          <w:sz w:val="24"/>
          <w:szCs w:val="24"/>
          <w:lang w:val="es-ES_tradnl"/>
        </w:rPr>
        <w:t xml:space="preserve"> particular de la presente resolución emitida </w:t>
      </w:r>
      <w:r w:rsidRPr="00701720">
        <w:rPr>
          <w:rFonts w:ascii="Palatino Linotype" w:hAnsi="Palatino Linotype" w:cs="Arial"/>
          <w:sz w:val="24"/>
          <w:szCs w:val="24"/>
        </w:rPr>
        <w:t>por el Pleno del Instituto de Transparencia, Acceso a la Información Pública y Protección de Datos Personales del Estado de Méxi</w:t>
      </w:r>
      <w:r w:rsidR="002C1F75" w:rsidRPr="00701720">
        <w:rPr>
          <w:rFonts w:ascii="Palatino Linotype" w:hAnsi="Palatino Linotype" w:cs="Arial"/>
          <w:sz w:val="24"/>
          <w:szCs w:val="24"/>
        </w:rPr>
        <w:t xml:space="preserve">co y Municipios, en su </w:t>
      </w:r>
      <w:r w:rsidR="007C168F">
        <w:rPr>
          <w:rFonts w:ascii="Palatino Linotype" w:hAnsi="Palatino Linotype" w:cs="Arial"/>
          <w:sz w:val="24"/>
          <w:szCs w:val="24"/>
        </w:rPr>
        <w:t>Vigésima Novena</w:t>
      </w:r>
      <w:r w:rsidRPr="00701720">
        <w:rPr>
          <w:rFonts w:ascii="Palatino Linotype" w:hAnsi="Palatino Linotype" w:cs="Arial"/>
          <w:sz w:val="24"/>
          <w:szCs w:val="24"/>
        </w:rPr>
        <w:t xml:space="preserve"> </w:t>
      </w:r>
      <w:r w:rsidR="007C168F">
        <w:rPr>
          <w:rFonts w:ascii="Palatino Linotype" w:hAnsi="Palatino Linotype" w:cs="Arial"/>
          <w:sz w:val="24"/>
          <w:szCs w:val="24"/>
        </w:rPr>
        <w:t>Sesión O</w:t>
      </w:r>
      <w:r w:rsidRPr="00701720">
        <w:rPr>
          <w:rFonts w:ascii="Palatino Linotype" w:hAnsi="Palatino Linotype" w:cs="Arial"/>
          <w:sz w:val="24"/>
          <w:szCs w:val="24"/>
        </w:rPr>
        <w:t xml:space="preserve">rdinaria de fecha </w:t>
      </w:r>
      <w:r w:rsidR="007C168F">
        <w:rPr>
          <w:rFonts w:ascii="Palatino Linotype" w:hAnsi="Palatino Linotype" w:cs="Arial"/>
          <w:sz w:val="24"/>
          <w:szCs w:val="24"/>
        </w:rPr>
        <w:t>quince</w:t>
      </w:r>
      <w:r w:rsidRPr="00701720">
        <w:rPr>
          <w:rFonts w:ascii="Palatino Linotype" w:hAnsi="Palatino Linotype" w:cs="Arial"/>
          <w:sz w:val="24"/>
          <w:szCs w:val="24"/>
        </w:rPr>
        <w:t xml:space="preserve"> (</w:t>
      </w:r>
      <w:r w:rsidR="007C168F">
        <w:rPr>
          <w:rFonts w:ascii="Palatino Linotype" w:hAnsi="Palatino Linotype" w:cs="Arial"/>
          <w:sz w:val="24"/>
          <w:szCs w:val="24"/>
        </w:rPr>
        <w:t>15</w:t>
      </w:r>
      <w:r w:rsidRPr="00701720">
        <w:rPr>
          <w:rFonts w:ascii="Palatino Linotype" w:hAnsi="Palatino Linotype" w:cs="Arial"/>
          <w:sz w:val="24"/>
          <w:szCs w:val="24"/>
        </w:rPr>
        <w:t xml:space="preserve">) de </w:t>
      </w:r>
      <w:r w:rsidR="007C168F">
        <w:rPr>
          <w:rFonts w:ascii="Palatino Linotype" w:hAnsi="Palatino Linotype" w:cs="Arial"/>
          <w:sz w:val="24"/>
          <w:szCs w:val="24"/>
        </w:rPr>
        <w:t>agosto</w:t>
      </w:r>
      <w:r w:rsidRPr="00701720">
        <w:rPr>
          <w:rFonts w:ascii="Palatino Linotype" w:hAnsi="Palatino Linotype" w:cs="Arial"/>
          <w:sz w:val="24"/>
          <w:szCs w:val="24"/>
        </w:rPr>
        <w:t xml:space="preserve"> de dos mil </w:t>
      </w:r>
      <w:r w:rsidR="007C168F">
        <w:rPr>
          <w:rFonts w:ascii="Palatino Linotype" w:hAnsi="Palatino Linotype" w:cs="Arial"/>
          <w:sz w:val="24"/>
          <w:szCs w:val="24"/>
        </w:rPr>
        <w:t>dieciocho</w:t>
      </w:r>
      <w:r w:rsidRPr="00701720">
        <w:rPr>
          <w:rFonts w:ascii="Palatino Linotype" w:hAnsi="Palatino Linotype" w:cs="Arial"/>
          <w:sz w:val="24"/>
          <w:szCs w:val="24"/>
        </w:rPr>
        <w:t>, en el recurso</w:t>
      </w:r>
      <w:r w:rsidR="002C1F75" w:rsidRPr="00701720">
        <w:rPr>
          <w:rFonts w:ascii="Palatino Linotype" w:hAnsi="Palatino Linotype" w:cs="Arial"/>
          <w:sz w:val="24"/>
          <w:szCs w:val="24"/>
        </w:rPr>
        <w:t xml:space="preserve"> de revisión promovido</w:t>
      </w:r>
      <w:r w:rsidRPr="00701720">
        <w:rPr>
          <w:rFonts w:ascii="Palatino Linotype" w:hAnsi="Palatino Linotype" w:cs="Arial"/>
          <w:sz w:val="24"/>
          <w:szCs w:val="24"/>
        </w:rPr>
        <w:t xml:space="preserve"> por</w:t>
      </w:r>
      <w:r w:rsidRPr="00701720">
        <w:rPr>
          <w:rFonts w:ascii="Palatino Linotype" w:hAnsi="Palatino Linotype" w:cs="Arial"/>
          <w:b/>
        </w:rPr>
        <w:t xml:space="preserve"> </w:t>
      </w:r>
      <w:proofErr w:type="spellStart"/>
      <w:r w:rsidR="00394410">
        <w:rPr>
          <w:rFonts w:ascii="Palatino Linotype" w:hAnsi="Palatino Linotype" w:cs="Arial"/>
          <w:b/>
        </w:rPr>
        <w:t>xxxxxxxx</w:t>
      </w:r>
      <w:proofErr w:type="spellEnd"/>
      <w:r w:rsidRPr="00701720">
        <w:rPr>
          <w:rFonts w:ascii="Palatino Linotype" w:hAnsi="Palatino Linotype" w:cs="Arial"/>
          <w:sz w:val="24"/>
          <w:szCs w:val="24"/>
        </w:rPr>
        <w:t>,</w:t>
      </w:r>
      <w:r w:rsidRPr="00701720">
        <w:rPr>
          <w:rFonts w:ascii="Palatino Linotype" w:hAnsi="Palatino Linotype" w:cs="Arial"/>
          <w:b/>
          <w:sz w:val="24"/>
          <w:szCs w:val="24"/>
        </w:rPr>
        <w:t xml:space="preserve"> </w:t>
      </w:r>
      <w:r w:rsidRPr="00701720">
        <w:rPr>
          <w:rFonts w:ascii="Palatino Linotype" w:hAnsi="Palatino Linotype" w:cs="Arial"/>
          <w:sz w:val="24"/>
          <w:szCs w:val="24"/>
        </w:rPr>
        <w:t>en contra de la</w:t>
      </w:r>
      <w:r w:rsidR="00902248" w:rsidRPr="00701720">
        <w:rPr>
          <w:rFonts w:ascii="Palatino Linotype" w:hAnsi="Palatino Linotype" w:cs="Arial"/>
          <w:sz w:val="24"/>
          <w:szCs w:val="24"/>
        </w:rPr>
        <w:t>s</w:t>
      </w:r>
      <w:r w:rsidRPr="00701720">
        <w:rPr>
          <w:rFonts w:ascii="Palatino Linotype" w:hAnsi="Palatino Linotype" w:cs="Arial"/>
          <w:sz w:val="24"/>
          <w:szCs w:val="24"/>
        </w:rPr>
        <w:t xml:space="preserve"> respuesta de</w:t>
      </w:r>
      <w:r w:rsidR="007C168F">
        <w:rPr>
          <w:rFonts w:ascii="Palatino Linotype" w:hAnsi="Palatino Linotype" w:cs="Arial"/>
          <w:sz w:val="24"/>
          <w:szCs w:val="24"/>
        </w:rPr>
        <w:t xml:space="preserve"> </w:t>
      </w:r>
      <w:r w:rsidRPr="00701720">
        <w:rPr>
          <w:rFonts w:ascii="Palatino Linotype" w:hAnsi="Palatino Linotype" w:cs="Arial"/>
          <w:sz w:val="24"/>
          <w:szCs w:val="24"/>
        </w:rPr>
        <w:t>l</w:t>
      </w:r>
      <w:r w:rsidR="007C168F">
        <w:rPr>
          <w:rFonts w:ascii="Palatino Linotype" w:hAnsi="Palatino Linotype" w:cs="Arial"/>
          <w:sz w:val="24"/>
          <w:szCs w:val="24"/>
        </w:rPr>
        <w:t>a</w:t>
      </w:r>
      <w:r w:rsidRPr="00701720">
        <w:rPr>
          <w:rFonts w:ascii="Palatino Linotype" w:hAnsi="Palatino Linotype" w:cs="Arial"/>
          <w:sz w:val="24"/>
          <w:szCs w:val="24"/>
        </w:rPr>
        <w:t xml:space="preserve"> </w:t>
      </w:r>
      <w:r w:rsidR="007C168F" w:rsidRPr="00B05EC7">
        <w:rPr>
          <w:rFonts w:ascii="Palatino Linotype" w:hAnsi="Palatino Linotype" w:cs="Arial"/>
          <w:b/>
        </w:rPr>
        <w:t>Universidad Politécnica del Valle de Toluca</w:t>
      </w:r>
      <w:r w:rsidRPr="00701720">
        <w:rPr>
          <w:rFonts w:ascii="Palatino Linotype" w:hAnsi="Palatino Linotype" w:cs="Arial"/>
          <w:sz w:val="24"/>
          <w:szCs w:val="24"/>
        </w:rPr>
        <w:t>, procedimiento a</w:t>
      </w:r>
      <w:r w:rsidR="0000525F" w:rsidRPr="00701720">
        <w:rPr>
          <w:rFonts w:ascii="Palatino Linotype" w:hAnsi="Palatino Linotype" w:cs="Arial"/>
          <w:sz w:val="24"/>
          <w:szCs w:val="24"/>
        </w:rPr>
        <w:t>l</w:t>
      </w:r>
      <w:r w:rsidR="00902248" w:rsidRPr="00701720">
        <w:rPr>
          <w:rFonts w:ascii="Palatino Linotype" w:hAnsi="Palatino Linotype" w:cs="Arial"/>
          <w:sz w:val="24"/>
          <w:szCs w:val="24"/>
        </w:rPr>
        <w:t xml:space="preserve"> que se le asignó </w:t>
      </w:r>
      <w:r w:rsidR="0000525F" w:rsidRPr="00701720">
        <w:rPr>
          <w:rFonts w:ascii="Palatino Linotype" w:hAnsi="Palatino Linotype" w:cs="Arial"/>
          <w:sz w:val="24"/>
          <w:szCs w:val="24"/>
        </w:rPr>
        <w:t>el</w:t>
      </w:r>
      <w:r w:rsidRPr="00701720">
        <w:rPr>
          <w:rFonts w:ascii="Palatino Linotype" w:hAnsi="Palatino Linotype" w:cs="Arial"/>
          <w:sz w:val="24"/>
          <w:szCs w:val="24"/>
        </w:rPr>
        <w:t xml:space="preserve"> número de expediente </w:t>
      </w:r>
      <w:r w:rsidR="007C168F" w:rsidRPr="007C168F">
        <w:rPr>
          <w:rFonts w:ascii="Palatino Linotype" w:hAnsi="Palatino Linotype" w:cs="Arial"/>
          <w:b/>
          <w:sz w:val="24"/>
          <w:szCs w:val="24"/>
        </w:rPr>
        <w:t>02309</w:t>
      </w:r>
      <w:r w:rsidR="007C168F">
        <w:rPr>
          <w:rFonts w:ascii="Palatino Linotype" w:eastAsia="Times New Roman" w:hAnsi="Palatino Linotype" w:cs="Arial"/>
          <w:b/>
          <w:bCs/>
          <w:sz w:val="24"/>
          <w:szCs w:val="24"/>
          <w:lang w:eastAsia="es-ES"/>
        </w:rPr>
        <w:t>/INFOEM/IP/RR/2018 y acumulados.</w:t>
      </w:r>
    </w:p>
    <w:p w:rsidR="0000525F" w:rsidRPr="00701720" w:rsidRDefault="0000525F" w:rsidP="00701720">
      <w:pPr>
        <w:pStyle w:val="Prrafodelista"/>
        <w:spacing w:after="0" w:line="360" w:lineRule="auto"/>
        <w:ind w:left="426"/>
        <w:jc w:val="both"/>
        <w:rPr>
          <w:rFonts w:ascii="Palatino Linotype" w:hAnsi="Palatino Linotype" w:cs="Arial"/>
          <w:sz w:val="24"/>
          <w:szCs w:val="24"/>
        </w:rPr>
      </w:pPr>
    </w:p>
    <w:p w:rsidR="007C168F" w:rsidRDefault="0046491C" w:rsidP="00701720">
      <w:pPr>
        <w:pStyle w:val="Prrafodelista"/>
        <w:numPr>
          <w:ilvl w:val="0"/>
          <w:numId w:val="1"/>
        </w:numPr>
        <w:spacing w:after="0" w:line="360" w:lineRule="auto"/>
        <w:jc w:val="both"/>
        <w:rPr>
          <w:rFonts w:ascii="Palatino Linotype" w:hAnsi="Palatino Linotype" w:cs="Arial"/>
          <w:sz w:val="24"/>
          <w:szCs w:val="24"/>
        </w:rPr>
      </w:pPr>
      <w:r w:rsidRPr="00701720">
        <w:rPr>
          <w:rFonts w:ascii="Palatino Linotype" w:hAnsi="Palatino Linotype" w:cs="Arial"/>
          <w:sz w:val="24"/>
          <w:szCs w:val="24"/>
        </w:rPr>
        <w:t xml:space="preserve">Mi </w:t>
      </w:r>
      <w:r w:rsidR="00D33AF9" w:rsidRPr="00701720">
        <w:rPr>
          <w:rFonts w:ascii="Palatino Linotype" w:hAnsi="Palatino Linotype" w:cs="Arial"/>
          <w:sz w:val="24"/>
          <w:szCs w:val="24"/>
        </w:rPr>
        <w:t>voto</w:t>
      </w:r>
      <w:r w:rsidRPr="00701720">
        <w:rPr>
          <w:rFonts w:ascii="Palatino Linotype" w:hAnsi="Palatino Linotype" w:cs="Arial"/>
          <w:sz w:val="24"/>
          <w:szCs w:val="24"/>
        </w:rPr>
        <w:t xml:space="preserve"> particular se deriva </w:t>
      </w:r>
      <w:r w:rsidR="007C168F">
        <w:rPr>
          <w:rFonts w:ascii="Palatino Linotype" w:hAnsi="Palatino Linotype" w:cs="Arial"/>
          <w:sz w:val="24"/>
          <w:szCs w:val="24"/>
        </w:rPr>
        <w:t xml:space="preserve">de dos aspectos, el primero de ellos es que el recurso de revisión </w:t>
      </w:r>
      <w:r w:rsidR="007C168F" w:rsidRPr="007C168F">
        <w:rPr>
          <w:rFonts w:ascii="Palatino Linotype" w:hAnsi="Palatino Linotype" w:cs="Arial"/>
          <w:b/>
          <w:sz w:val="24"/>
          <w:szCs w:val="24"/>
        </w:rPr>
        <w:t>02410/INFOEM/IP/RR/2018</w:t>
      </w:r>
      <w:r w:rsidR="007C168F">
        <w:rPr>
          <w:rFonts w:ascii="Palatino Linotype" w:hAnsi="Palatino Linotype" w:cs="Arial"/>
          <w:sz w:val="24"/>
          <w:szCs w:val="24"/>
        </w:rPr>
        <w:t xml:space="preserve"> </w:t>
      </w:r>
      <w:r w:rsidR="009C4599">
        <w:rPr>
          <w:rFonts w:ascii="Palatino Linotype" w:hAnsi="Palatino Linotype" w:cs="Arial"/>
          <w:sz w:val="24"/>
          <w:szCs w:val="24"/>
        </w:rPr>
        <w:t>se haya resuelto mediante un sobreseimiento, mientras que el segundo aspecto radica en que el sentido de la resolución relativo a los demás recursos de revisión acumulados sea un REVOCA si se entregó parte de la información, por lo que el sentido idóneo debió ser un MODIFICA.</w:t>
      </w:r>
    </w:p>
    <w:p w:rsidR="007C168F" w:rsidRPr="007C168F" w:rsidRDefault="007C168F" w:rsidP="007C168F">
      <w:pPr>
        <w:pStyle w:val="Prrafodelista"/>
        <w:rPr>
          <w:rFonts w:ascii="Palatino Linotype" w:hAnsi="Palatino Linotype" w:cs="Arial"/>
          <w:sz w:val="24"/>
          <w:szCs w:val="24"/>
        </w:rPr>
      </w:pPr>
    </w:p>
    <w:p w:rsidR="0046491C" w:rsidRDefault="0046491C" w:rsidP="00701720">
      <w:pPr>
        <w:pStyle w:val="Prrafodelista"/>
        <w:numPr>
          <w:ilvl w:val="0"/>
          <w:numId w:val="1"/>
        </w:numPr>
        <w:spacing w:line="360" w:lineRule="auto"/>
        <w:jc w:val="both"/>
        <w:rPr>
          <w:rFonts w:ascii="Palatino Linotype" w:hAnsi="Palatino Linotype" w:cs="Arial"/>
          <w:sz w:val="24"/>
          <w:szCs w:val="24"/>
        </w:rPr>
      </w:pPr>
      <w:r w:rsidRPr="00701720">
        <w:rPr>
          <w:rFonts w:ascii="Palatino Linotype" w:hAnsi="Palatino Linotype" w:cs="Arial"/>
          <w:sz w:val="24"/>
          <w:szCs w:val="24"/>
        </w:rPr>
        <w:t xml:space="preserve">Por tal motivo y en términos de lo señalado por los artículos </w:t>
      </w:r>
      <w:r w:rsidR="00AA49F3" w:rsidRPr="00701720">
        <w:rPr>
          <w:rFonts w:ascii="Palatino Linotype" w:hAnsi="Palatino Linotype" w:cs="Arial"/>
          <w:sz w:val="24"/>
          <w:szCs w:val="24"/>
        </w:rPr>
        <w:t>14</w:t>
      </w:r>
      <w:r w:rsidRPr="00701720">
        <w:rPr>
          <w:rFonts w:ascii="Palatino Linotype" w:hAnsi="Palatino Linotype" w:cs="Arial"/>
          <w:sz w:val="24"/>
          <w:szCs w:val="24"/>
        </w:rPr>
        <w:t xml:space="preserve"> fracción </w:t>
      </w:r>
      <w:r w:rsidR="00AA49F3" w:rsidRPr="00701720">
        <w:rPr>
          <w:rFonts w:ascii="Palatino Linotype" w:hAnsi="Palatino Linotype" w:cs="Arial"/>
          <w:sz w:val="24"/>
          <w:szCs w:val="24"/>
        </w:rPr>
        <w:t>XI</w:t>
      </w:r>
      <w:r w:rsidRPr="00701720">
        <w:rPr>
          <w:rFonts w:ascii="Palatino Linotype" w:hAnsi="Palatino Linotype" w:cs="Arial"/>
          <w:sz w:val="24"/>
          <w:szCs w:val="24"/>
        </w:rPr>
        <w:t xml:space="preserve"> del Reglamento Interior del Instituto de Transparencia y Acceso a la Información Pública del Estado de México y Municipios formulo el presente voto particular. </w:t>
      </w:r>
    </w:p>
    <w:p w:rsidR="00721927" w:rsidRPr="00721927" w:rsidRDefault="00721927" w:rsidP="00721927">
      <w:pPr>
        <w:pStyle w:val="Prrafodelista"/>
        <w:rPr>
          <w:rFonts w:ascii="Palatino Linotype" w:hAnsi="Palatino Linotype" w:cs="Arial"/>
          <w:sz w:val="24"/>
          <w:szCs w:val="24"/>
        </w:rPr>
      </w:pPr>
    </w:p>
    <w:p w:rsidR="0046491C" w:rsidRPr="00701720" w:rsidRDefault="0046491C" w:rsidP="00701720">
      <w:pPr>
        <w:pStyle w:val="Ttulo1"/>
        <w:numPr>
          <w:ilvl w:val="0"/>
          <w:numId w:val="12"/>
        </w:numPr>
        <w:spacing w:line="360" w:lineRule="auto"/>
        <w:rPr>
          <w:rFonts w:ascii="Palatino Linotype" w:hAnsi="Palatino Linotype"/>
          <w:b/>
          <w:color w:val="auto"/>
          <w:sz w:val="24"/>
          <w:szCs w:val="24"/>
        </w:rPr>
      </w:pPr>
      <w:bookmarkStart w:id="2" w:name="_Toc522548295"/>
      <w:r w:rsidRPr="00701720">
        <w:rPr>
          <w:rFonts w:ascii="Palatino Linotype" w:hAnsi="Palatino Linotype"/>
          <w:b/>
          <w:color w:val="auto"/>
          <w:sz w:val="24"/>
          <w:szCs w:val="24"/>
        </w:rPr>
        <w:t>De los requerimientos planteados en el recurso de revisión.</w:t>
      </w:r>
      <w:bookmarkEnd w:id="2"/>
    </w:p>
    <w:p w:rsidR="0046491C" w:rsidRPr="00701720" w:rsidRDefault="0046491C" w:rsidP="00701720">
      <w:pPr>
        <w:pStyle w:val="Prrafodelista"/>
        <w:spacing w:line="360" w:lineRule="auto"/>
        <w:ind w:left="1080"/>
        <w:jc w:val="both"/>
        <w:rPr>
          <w:rFonts w:ascii="Palatino Linotype" w:hAnsi="Palatino Linotype" w:cs="Arial"/>
          <w:sz w:val="24"/>
          <w:szCs w:val="24"/>
        </w:rPr>
      </w:pPr>
    </w:p>
    <w:p w:rsidR="0046491C" w:rsidRPr="00701720" w:rsidRDefault="00D75101" w:rsidP="00701720">
      <w:pPr>
        <w:pStyle w:val="Prrafodelista"/>
        <w:numPr>
          <w:ilvl w:val="0"/>
          <w:numId w:val="1"/>
        </w:numPr>
        <w:spacing w:after="0" w:line="360" w:lineRule="auto"/>
        <w:jc w:val="both"/>
        <w:rPr>
          <w:rFonts w:ascii="Palatino Linotype" w:eastAsia="Times New Roman" w:hAnsi="Palatino Linotype" w:cs="Arial"/>
          <w:sz w:val="24"/>
          <w:szCs w:val="24"/>
        </w:rPr>
      </w:pPr>
      <w:r>
        <w:rPr>
          <w:rFonts w:ascii="Palatino Linotype" w:hAnsi="Palatino Linotype" w:cs="Arial"/>
          <w:sz w:val="24"/>
          <w:szCs w:val="24"/>
        </w:rPr>
        <w:t>M</w:t>
      </w:r>
      <w:r w:rsidR="0046491C" w:rsidRPr="00701720">
        <w:rPr>
          <w:rFonts w:ascii="Palatino Linotype" w:hAnsi="Palatino Linotype" w:cs="Arial"/>
          <w:sz w:val="24"/>
          <w:szCs w:val="24"/>
        </w:rPr>
        <w:t>ediante la</w:t>
      </w:r>
      <w:r w:rsidR="00902248" w:rsidRPr="00701720">
        <w:rPr>
          <w:rFonts w:ascii="Palatino Linotype" w:hAnsi="Palatino Linotype" w:cs="Arial"/>
          <w:sz w:val="24"/>
          <w:szCs w:val="24"/>
        </w:rPr>
        <w:t>s</w:t>
      </w:r>
      <w:r w:rsidR="0046491C" w:rsidRPr="00701720">
        <w:rPr>
          <w:rFonts w:ascii="Palatino Linotype" w:hAnsi="Palatino Linotype" w:cs="Arial"/>
          <w:sz w:val="24"/>
          <w:szCs w:val="24"/>
        </w:rPr>
        <w:t xml:space="preserve"> solicitud de acceso a la información </w:t>
      </w:r>
      <w:r w:rsidR="00102A1D">
        <w:rPr>
          <w:rFonts w:ascii="Palatino Linotype" w:hAnsi="Palatino Linotype" w:cs="Arial"/>
          <w:b/>
          <w:sz w:val="24"/>
          <w:szCs w:val="24"/>
        </w:rPr>
        <w:t>se</w:t>
      </w:r>
      <w:r w:rsidR="00902248" w:rsidRPr="00701720">
        <w:rPr>
          <w:rFonts w:ascii="Palatino Linotype" w:hAnsi="Palatino Linotype" w:cs="Arial"/>
          <w:b/>
        </w:rPr>
        <w:t xml:space="preserve"> </w:t>
      </w:r>
      <w:r w:rsidR="0046491C" w:rsidRPr="00701720">
        <w:rPr>
          <w:rFonts w:ascii="Palatino Linotype" w:hAnsi="Palatino Linotype" w:cs="Arial"/>
          <w:sz w:val="24"/>
          <w:szCs w:val="24"/>
        </w:rPr>
        <w:t xml:space="preserve">requirió lo siguiente: </w:t>
      </w:r>
    </w:p>
    <w:p w:rsidR="00E65413" w:rsidRPr="00701720" w:rsidRDefault="00E65413" w:rsidP="00701720">
      <w:pPr>
        <w:pStyle w:val="Prrafodelista"/>
        <w:spacing w:after="0" w:line="360" w:lineRule="auto"/>
        <w:ind w:left="360"/>
        <w:jc w:val="both"/>
        <w:rPr>
          <w:rFonts w:ascii="Palatino Linotype" w:eastAsia="Times New Roman" w:hAnsi="Palatino Linotype" w:cs="Arial"/>
          <w:sz w:val="24"/>
          <w:szCs w:val="24"/>
        </w:rPr>
      </w:pPr>
    </w:p>
    <w:p w:rsidR="0000525F" w:rsidRPr="00701720" w:rsidRDefault="0000525F" w:rsidP="00701720">
      <w:pPr>
        <w:spacing w:line="360" w:lineRule="auto"/>
        <w:ind w:left="567" w:right="616"/>
        <w:jc w:val="both"/>
        <w:rPr>
          <w:rFonts w:ascii="Palatino Linotype" w:hAnsi="Palatino Linotype"/>
          <w:i/>
        </w:rPr>
      </w:pPr>
      <w:r w:rsidRPr="00701720">
        <w:rPr>
          <w:rFonts w:ascii="Palatino Linotype" w:hAnsi="Palatino Linotype" w:cs="Arial"/>
          <w:i/>
          <w:lang w:eastAsia="es-MX"/>
        </w:rPr>
        <w:t xml:space="preserve"> </w:t>
      </w:r>
      <w:r w:rsidR="0046491C" w:rsidRPr="00701720">
        <w:rPr>
          <w:rFonts w:ascii="Palatino Linotype" w:hAnsi="Palatino Linotype" w:cs="Arial"/>
          <w:i/>
          <w:lang w:eastAsia="es-MX"/>
        </w:rPr>
        <w:t>“</w:t>
      </w:r>
      <w:r w:rsidR="00102A1D" w:rsidRPr="001E0080">
        <w:rPr>
          <w:rFonts w:ascii="Palatino Linotype" w:hAnsi="Palatino Linotype"/>
          <w:i/>
          <w:color w:val="000000"/>
        </w:rPr>
        <w:t xml:space="preserve">Docentes contratados </w:t>
      </w:r>
      <w:r w:rsidR="00102A1D">
        <w:rPr>
          <w:rFonts w:ascii="Palatino Linotype" w:hAnsi="Palatino Linotype"/>
          <w:i/>
          <w:color w:val="000000"/>
        </w:rPr>
        <w:t>del año 2006 al</w:t>
      </w:r>
      <w:r w:rsidR="00102A1D" w:rsidRPr="001E0080">
        <w:rPr>
          <w:rFonts w:ascii="Palatino Linotype" w:hAnsi="Palatino Linotype"/>
          <w:i/>
          <w:color w:val="000000"/>
        </w:rPr>
        <w:t xml:space="preserve"> año 2018 por división académica, programa educativo y/o carrera, sueldo y prestaciones, horas clase asignadas, tanto frente a grupo como de gestión; indicar </w:t>
      </w:r>
      <w:proofErr w:type="spellStart"/>
      <w:r w:rsidR="00102A1D" w:rsidRPr="001E0080">
        <w:rPr>
          <w:rFonts w:ascii="Palatino Linotype" w:hAnsi="Palatino Linotype"/>
          <w:i/>
          <w:color w:val="000000"/>
        </w:rPr>
        <w:t>cuantos</w:t>
      </w:r>
      <w:proofErr w:type="spellEnd"/>
      <w:r w:rsidR="00102A1D" w:rsidRPr="001E0080">
        <w:rPr>
          <w:rFonts w:ascii="Palatino Linotype" w:hAnsi="Palatino Linotype"/>
          <w:i/>
          <w:color w:val="000000"/>
        </w:rPr>
        <w:t xml:space="preserve"> de ellos se mantienen y no han sido corridos por la Sra. </w:t>
      </w:r>
      <w:proofErr w:type="spellStart"/>
      <w:r w:rsidR="00102A1D" w:rsidRPr="001E0080">
        <w:rPr>
          <w:rFonts w:ascii="Palatino Linotype" w:hAnsi="Palatino Linotype"/>
          <w:i/>
          <w:color w:val="000000"/>
        </w:rPr>
        <w:t>Manzur</w:t>
      </w:r>
      <w:proofErr w:type="spellEnd"/>
      <w:r w:rsidRPr="00701720">
        <w:rPr>
          <w:rFonts w:ascii="Palatino Linotype" w:hAnsi="Palatino Linotype" w:cs="Arial"/>
          <w:i/>
        </w:rPr>
        <w:t>” (sic)</w:t>
      </w:r>
    </w:p>
    <w:p w:rsidR="0046491C" w:rsidRPr="00701720" w:rsidRDefault="0046491C" w:rsidP="00701720">
      <w:pPr>
        <w:spacing w:line="360" w:lineRule="auto"/>
        <w:jc w:val="both"/>
        <w:rPr>
          <w:rFonts w:ascii="Palatino Linotype" w:hAnsi="Palatino Linotype" w:cs="Arial"/>
          <w:i/>
        </w:rPr>
      </w:pPr>
    </w:p>
    <w:p w:rsidR="00102A1D" w:rsidRDefault="00EE6533" w:rsidP="00102A1D">
      <w:pPr>
        <w:pStyle w:val="Prrafodelista"/>
        <w:numPr>
          <w:ilvl w:val="0"/>
          <w:numId w:val="1"/>
        </w:numPr>
        <w:spacing w:before="240" w:after="240" w:line="360" w:lineRule="auto"/>
        <w:ind w:right="49"/>
        <w:jc w:val="both"/>
        <w:rPr>
          <w:rFonts w:ascii="Palatino Linotype" w:hAnsi="Palatino Linotype" w:cs="Arial"/>
          <w:sz w:val="24"/>
          <w:szCs w:val="24"/>
        </w:rPr>
      </w:pPr>
      <w:r w:rsidRPr="00701720">
        <w:rPr>
          <w:rFonts w:ascii="Palatino Linotype" w:hAnsi="Palatino Linotype" w:cs="Arial"/>
          <w:sz w:val="24"/>
          <w:szCs w:val="24"/>
        </w:rPr>
        <w:lastRenderedPageBreak/>
        <w:t xml:space="preserve">Para lo cual el </w:t>
      </w:r>
      <w:r w:rsidRPr="00701720">
        <w:rPr>
          <w:rFonts w:ascii="Palatino Linotype" w:hAnsi="Palatino Linotype" w:cs="Arial"/>
          <w:b/>
          <w:sz w:val="24"/>
          <w:szCs w:val="24"/>
        </w:rPr>
        <w:t>SUJETO OBLIGADO</w:t>
      </w:r>
      <w:r w:rsidRPr="00701720">
        <w:rPr>
          <w:rFonts w:ascii="Palatino Linotype" w:hAnsi="Palatino Linotype" w:cs="Arial"/>
          <w:sz w:val="24"/>
          <w:szCs w:val="24"/>
        </w:rPr>
        <w:t xml:space="preserve"> </w:t>
      </w:r>
      <w:r w:rsidR="00102A1D">
        <w:rPr>
          <w:rFonts w:ascii="Palatino Linotype" w:hAnsi="Palatino Linotype" w:cs="Arial"/>
          <w:sz w:val="24"/>
          <w:szCs w:val="24"/>
        </w:rPr>
        <w:t xml:space="preserve">en lo que respecta al recurso de revisión </w:t>
      </w:r>
      <w:r w:rsidR="00102A1D" w:rsidRPr="007C168F">
        <w:rPr>
          <w:rFonts w:ascii="Palatino Linotype" w:hAnsi="Palatino Linotype" w:cs="Arial"/>
          <w:b/>
          <w:sz w:val="24"/>
          <w:szCs w:val="24"/>
        </w:rPr>
        <w:t>02410/INFOEM/IP/RR/2018</w:t>
      </w:r>
      <w:r w:rsidR="00102A1D">
        <w:rPr>
          <w:rFonts w:ascii="Palatino Linotype" w:hAnsi="Palatino Linotype" w:cs="Arial"/>
          <w:b/>
          <w:sz w:val="24"/>
          <w:szCs w:val="24"/>
        </w:rPr>
        <w:t xml:space="preserve"> </w:t>
      </w:r>
      <w:r w:rsidR="00102A1D" w:rsidRPr="00102A1D">
        <w:rPr>
          <w:rFonts w:ascii="Palatino Linotype" w:hAnsi="Palatino Linotype" w:cs="Arial"/>
          <w:sz w:val="24"/>
          <w:szCs w:val="24"/>
        </w:rPr>
        <w:t>refiere que la universidad se creó el 13 de noviembre de 2006, por lo que no se generó información de los 10 meses anteriores.</w:t>
      </w:r>
    </w:p>
    <w:p w:rsidR="00721927" w:rsidRDefault="00721927" w:rsidP="00721927">
      <w:pPr>
        <w:pStyle w:val="Prrafodelista"/>
        <w:spacing w:before="240" w:after="240" w:line="360" w:lineRule="auto"/>
        <w:ind w:left="360" w:right="49"/>
        <w:jc w:val="both"/>
        <w:rPr>
          <w:rFonts w:ascii="Palatino Linotype" w:hAnsi="Palatino Linotype" w:cs="Arial"/>
          <w:sz w:val="24"/>
          <w:szCs w:val="24"/>
        </w:rPr>
      </w:pPr>
    </w:p>
    <w:p w:rsidR="00102A1D" w:rsidRDefault="00102A1D" w:rsidP="00102A1D">
      <w:pPr>
        <w:pStyle w:val="Prrafodelista"/>
        <w:numPr>
          <w:ilvl w:val="0"/>
          <w:numId w:val="1"/>
        </w:numPr>
        <w:spacing w:before="240" w:after="240" w:line="360" w:lineRule="auto"/>
        <w:ind w:right="49"/>
        <w:jc w:val="both"/>
        <w:rPr>
          <w:rFonts w:ascii="Palatino Linotype" w:hAnsi="Palatino Linotype" w:cs="Arial"/>
          <w:sz w:val="24"/>
          <w:szCs w:val="24"/>
        </w:rPr>
      </w:pPr>
      <w:r>
        <w:rPr>
          <w:rFonts w:ascii="Palatino Linotype" w:hAnsi="Palatino Linotype" w:cs="Arial"/>
          <w:sz w:val="24"/>
          <w:szCs w:val="24"/>
        </w:rPr>
        <w:t>Por lo que corresponde a los demás recursos de revisión entregó parte de la información solicitada, tal y como se aprecia en el cuerpo del estudio del proyecto de resolución.</w:t>
      </w:r>
    </w:p>
    <w:p w:rsidR="00102A1D" w:rsidRDefault="00102A1D" w:rsidP="00102A1D">
      <w:pPr>
        <w:pStyle w:val="Prrafodelista"/>
        <w:spacing w:before="240" w:after="240" w:line="360" w:lineRule="auto"/>
        <w:ind w:left="360" w:right="49"/>
        <w:jc w:val="both"/>
        <w:rPr>
          <w:rFonts w:ascii="Palatino Linotype" w:hAnsi="Palatino Linotype" w:cs="Arial"/>
          <w:sz w:val="24"/>
          <w:szCs w:val="24"/>
        </w:rPr>
      </w:pPr>
    </w:p>
    <w:p w:rsidR="00102A1D" w:rsidRPr="00102A1D" w:rsidRDefault="00102A1D" w:rsidP="00102A1D">
      <w:pPr>
        <w:pStyle w:val="Ttulo1"/>
        <w:numPr>
          <w:ilvl w:val="0"/>
          <w:numId w:val="12"/>
        </w:numPr>
        <w:rPr>
          <w:rFonts w:ascii="Palatino Linotype" w:hAnsi="Palatino Linotype"/>
          <w:b/>
          <w:color w:val="auto"/>
          <w:sz w:val="24"/>
        </w:rPr>
      </w:pPr>
      <w:bookmarkStart w:id="3" w:name="_Toc522548296"/>
      <w:r w:rsidRPr="00102A1D">
        <w:rPr>
          <w:rFonts w:ascii="Palatino Linotype" w:hAnsi="Palatino Linotype"/>
          <w:b/>
          <w:color w:val="auto"/>
          <w:sz w:val="24"/>
        </w:rPr>
        <w:t>Del sobreseimiento</w:t>
      </w:r>
      <w:bookmarkEnd w:id="3"/>
    </w:p>
    <w:p w:rsidR="00163EA9" w:rsidRPr="00701720" w:rsidRDefault="00163EA9" w:rsidP="00701720">
      <w:pPr>
        <w:pStyle w:val="Prrafodelista"/>
        <w:spacing w:before="240" w:after="240" w:line="360" w:lineRule="auto"/>
        <w:ind w:left="360" w:right="900"/>
        <w:jc w:val="both"/>
        <w:rPr>
          <w:rFonts w:ascii="Palatino Linotype" w:hAnsi="Palatino Linotype" w:cs="Arial"/>
          <w:sz w:val="24"/>
          <w:szCs w:val="24"/>
        </w:rPr>
      </w:pPr>
    </w:p>
    <w:p w:rsidR="00102A1D" w:rsidRPr="00102A1D" w:rsidRDefault="00C74C80" w:rsidP="00102A1D">
      <w:pPr>
        <w:pStyle w:val="Prrafodelista"/>
        <w:numPr>
          <w:ilvl w:val="0"/>
          <w:numId w:val="1"/>
        </w:numPr>
        <w:tabs>
          <w:tab w:val="left" w:pos="7655"/>
        </w:tabs>
        <w:spacing w:before="240" w:after="240" w:line="360" w:lineRule="auto"/>
        <w:ind w:right="49"/>
        <w:jc w:val="both"/>
        <w:rPr>
          <w:rFonts w:ascii="Palatino Linotype" w:hAnsi="Palatino Linotype" w:cs="Arial"/>
          <w:sz w:val="24"/>
          <w:szCs w:val="24"/>
        </w:rPr>
      </w:pPr>
      <w:r w:rsidRPr="00701720">
        <w:rPr>
          <w:rFonts w:ascii="Palatino Linotype" w:hAnsi="Palatino Linotype" w:cs="Arial"/>
          <w:sz w:val="24"/>
          <w:szCs w:val="24"/>
        </w:rPr>
        <w:t>En ese sentido, el pleno de este inst</w:t>
      </w:r>
      <w:r w:rsidR="00102A1D">
        <w:rPr>
          <w:rFonts w:ascii="Palatino Linotype" w:hAnsi="Palatino Linotype" w:cs="Arial"/>
          <w:sz w:val="24"/>
          <w:szCs w:val="24"/>
        </w:rPr>
        <w:t xml:space="preserve">ituto consideró que el recurso de revisión </w:t>
      </w:r>
      <w:r w:rsidR="00102A1D" w:rsidRPr="007C168F">
        <w:rPr>
          <w:rFonts w:ascii="Palatino Linotype" w:hAnsi="Palatino Linotype" w:cs="Arial"/>
          <w:b/>
          <w:sz w:val="24"/>
          <w:szCs w:val="24"/>
        </w:rPr>
        <w:t>02410/INFOEM/IP/RR/2018</w:t>
      </w:r>
      <w:r w:rsidR="00102A1D">
        <w:rPr>
          <w:rFonts w:ascii="Palatino Linotype" w:hAnsi="Palatino Linotype" w:cs="Arial"/>
          <w:b/>
          <w:sz w:val="24"/>
          <w:szCs w:val="24"/>
        </w:rPr>
        <w:t xml:space="preserve"> </w:t>
      </w:r>
      <w:r w:rsidR="00102A1D" w:rsidRPr="007A0697">
        <w:rPr>
          <w:rFonts w:ascii="Palatino Linotype" w:hAnsi="Palatino Linotype" w:cs="Arial"/>
          <w:sz w:val="24"/>
          <w:szCs w:val="24"/>
        </w:rPr>
        <w:t>al solicitar información únicamente del año 2006, actualiza el sobreseimiento en razón de que la universidad se creó en el mes de noviembre por lo que es materialmente imposible que exista información de meses anteriores.</w:t>
      </w:r>
    </w:p>
    <w:p w:rsidR="00102A1D" w:rsidRPr="00102A1D" w:rsidRDefault="00102A1D" w:rsidP="00102A1D">
      <w:pPr>
        <w:pStyle w:val="Prrafodelista"/>
        <w:tabs>
          <w:tab w:val="left" w:pos="7655"/>
        </w:tabs>
        <w:spacing w:before="240" w:after="240" w:line="360" w:lineRule="auto"/>
        <w:ind w:left="360" w:right="49"/>
        <w:jc w:val="both"/>
        <w:rPr>
          <w:rFonts w:ascii="Palatino Linotype" w:hAnsi="Palatino Linotype" w:cs="Arial"/>
          <w:sz w:val="24"/>
          <w:szCs w:val="24"/>
        </w:rPr>
      </w:pPr>
    </w:p>
    <w:p w:rsidR="00102A1D" w:rsidRDefault="00102A1D" w:rsidP="00701720">
      <w:pPr>
        <w:pStyle w:val="Prrafodelista"/>
        <w:numPr>
          <w:ilvl w:val="0"/>
          <w:numId w:val="1"/>
        </w:numPr>
        <w:tabs>
          <w:tab w:val="left" w:pos="7655"/>
        </w:tabs>
        <w:spacing w:before="240" w:after="240" w:line="360" w:lineRule="auto"/>
        <w:ind w:right="49"/>
        <w:jc w:val="both"/>
        <w:rPr>
          <w:rFonts w:ascii="Palatino Linotype" w:hAnsi="Palatino Linotype" w:cs="Arial"/>
          <w:sz w:val="24"/>
          <w:szCs w:val="24"/>
        </w:rPr>
      </w:pPr>
      <w:r>
        <w:rPr>
          <w:rFonts w:ascii="Palatino Linotype" w:hAnsi="Palatino Linotype" w:cs="Arial"/>
          <w:sz w:val="24"/>
          <w:szCs w:val="24"/>
        </w:rPr>
        <w:t>Postura que perfectamente</w:t>
      </w:r>
      <w:r w:rsidR="007A0697">
        <w:rPr>
          <w:rFonts w:ascii="Palatino Linotype" w:hAnsi="Palatino Linotype" w:cs="Arial"/>
          <w:sz w:val="24"/>
          <w:szCs w:val="24"/>
        </w:rPr>
        <w:t xml:space="preserve"> comparto puesto que el Decreto del ejecutivo del Estado por el que se crea el Organismo Público Descentralizado de carácter Estatal denominado Universidad Politécnica del Valle de Toluca, en efecto se creó el 13 de noviembre de 2006 tal y como se aprecia en la imagen de referencia</w:t>
      </w:r>
    </w:p>
    <w:p w:rsidR="00102A1D" w:rsidRPr="00102A1D" w:rsidRDefault="00102A1D" w:rsidP="00102A1D">
      <w:pPr>
        <w:pStyle w:val="Prrafodelista"/>
        <w:rPr>
          <w:rFonts w:ascii="Palatino Linotype" w:hAnsi="Palatino Linotype" w:cs="Arial"/>
          <w:sz w:val="24"/>
          <w:szCs w:val="24"/>
        </w:rPr>
      </w:pPr>
    </w:p>
    <w:p w:rsidR="00102A1D" w:rsidRDefault="00102A1D" w:rsidP="007A0697">
      <w:pPr>
        <w:pStyle w:val="Prrafodelista"/>
        <w:tabs>
          <w:tab w:val="left" w:pos="7655"/>
        </w:tabs>
        <w:spacing w:before="240" w:after="240" w:line="360" w:lineRule="auto"/>
        <w:ind w:left="360" w:right="49"/>
        <w:jc w:val="both"/>
        <w:rPr>
          <w:rFonts w:ascii="Palatino Linotype" w:hAnsi="Palatino Linotype" w:cs="Arial"/>
          <w:sz w:val="24"/>
          <w:szCs w:val="24"/>
        </w:rPr>
      </w:pPr>
    </w:p>
    <w:p w:rsidR="007A0697" w:rsidRDefault="007A0697" w:rsidP="007A0697">
      <w:pPr>
        <w:pStyle w:val="Prrafodelista"/>
        <w:tabs>
          <w:tab w:val="left" w:pos="7655"/>
        </w:tabs>
        <w:spacing w:before="240" w:after="240" w:line="360" w:lineRule="auto"/>
        <w:ind w:left="360" w:right="49"/>
        <w:jc w:val="both"/>
        <w:rPr>
          <w:rFonts w:ascii="Palatino Linotype" w:hAnsi="Palatino Linotype" w:cs="Arial"/>
          <w:sz w:val="24"/>
          <w:szCs w:val="24"/>
        </w:rPr>
      </w:pPr>
      <w:r>
        <w:rPr>
          <w:noProof/>
          <w:lang w:eastAsia="es-MX"/>
        </w:rPr>
        <mc:AlternateContent>
          <mc:Choice Requires="wps">
            <w:drawing>
              <wp:anchor distT="0" distB="0" distL="114300" distR="114300" simplePos="0" relativeHeight="251661312" behindDoc="0" locked="0" layoutInCell="1" allowOverlap="1" wp14:anchorId="37365272" wp14:editId="3A05A566">
                <wp:simplePos x="0" y="0"/>
                <wp:positionH relativeFrom="column">
                  <wp:posOffset>2815590</wp:posOffset>
                </wp:positionH>
                <wp:positionV relativeFrom="paragraph">
                  <wp:posOffset>1765300</wp:posOffset>
                </wp:positionV>
                <wp:extent cx="2428875" cy="600075"/>
                <wp:effectExtent l="19050" t="19050" r="28575" b="28575"/>
                <wp:wrapNone/>
                <wp:docPr id="3" name="Rectángulo 3"/>
                <wp:cNvGraphicFramePr/>
                <a:graphic xmlns:a="http://schemas.openxmlformats.org/drawingml/2006/main">
                  <a:graphicData uri="http://schemas.microsoft.com/office/word/2010/wordprocessingShape">
                    <wps:wsp>
                      <wps:cNvSpPr/>
                      <wps:spPr>
                        <a:xfrm>
                          <a:off x="0" y="0"/>
                          <a:ext cx="2428875" cy="60007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344D79" id="Rectángulo 3" o:spid="_x0000_s1026" style="position:absolute;margin-left:221.7pt;margin-top:139pt;width:191.25pt;height:4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" filled="f" strokecolor="red" strokeweight="2.25pt"/>
            </w:pict>
          </mc:Fallback>
        </mc:AlternateContent>
      </w:r>
      <w:r>
        <w:rPr>
          <w:noProof/>
          <w:lang w:eastAsia="es-MX"/>
        </w:rPr>
        <mc:AlternateContent>
          <mc:Choice Requires="wps">
            <w:drawing>
              <wp:anchor distT="0" distB="0" distL="114300" distR="114300" simplePos="0" relativeHeight="251659264" behindDoc="0" locked="0" layoutInCell="1" allowOverlap="1">
                <wp:simplePos x="0" y="0"/>
                <wp:positionH relativeFrom="column">
                  <wp:posOffset>3244215</wp:posOffset>
                </wp:positionH>
                <wp:positionV relativeFrom="paragraph">
                  <wp:posOffset>1441450</wp:posOffset>
                </wp:positionV>
                <wp:extent cx="1933575" cy="266700"/>
                <wp:effectExtent l="19050" t="19050" r="28575" b="19050"/>
                <wp:wrapNone/>
                <wp:docPr id="2" name="Rectángulo 2"/>
                <wp:cNvGraphicFramePr/>
                <a:graphic xmlns:a="http://schemas.openxmlformats.org/drawingml/2006/main">
                  <a:graphicData uri="http://schemas.microsoft.com/office/word/2010/wordprocessingShape">
                    <wps:wsp>
                      <wps:cNvSpPr/>
                      <wps:spPr>
                        <a:xfrm>
                          <a:off x="0" y="0"/>
                          <a:ext cx="1933575" cy="2667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A616EE" id="Rectángulo 2" o:spid="_x0000_s1026" style="position:absolute;margin-left:255.45pt;margin-top:113.5pt;width:152.25pt;height:2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" filled="f" strokecolor="red" strokeweight="2.25pt"/>
            </w:pict>
          </mc:Fallback>
        </mc:AlternateContent>
      </w:r>
      <w:r>
        <w:rPr>
          <w:noProof/>
          <w:lang w:eastAsia="es-MX"/>
        </w:rPr>
        <w:drawing>
          <wp:inline distT="0" distB="0" distL="0" distR="0" wp14:anchorId="738F117D" wp14:editId="2B512C92">
            <wp:extent cx="5267325" cy="566179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1059" t="21423" r="30414" b="4950"/>
                    <a:stretch/>
                  </pic:blipFill>
                  <pic:spPr bwMode="auto">
                    <a:xfrm>
                      <a:off x="0" y="0"/>
                      <a:ext cx="5280551" cy="5676010"/>
                    </a:xfrm>
                    <a:prstGeom prst="rect">
                      <a:avLst/>
                    </a:prstGeom>
                    <a:ln>
                      <a:noFill/>
                    </a:ln>
                    <a:extLst>
                      <a:ext uri="{53640926-AAD7-44D8-BBD7-CCE9431645EC}">
                        <a14:shadowObscured xmlns:a14="http://schemas.microsoft.com/office/drawing/2010/main"/>
                      </a:ext>
                    </a:extLst>
                  </pic:spPr>
                </pic:pic>
              </a:graphicData>
            </a:graphic>
          </wp:inline>
        </w:drawing>
      </w:r>
    </w:p>
    <w:p w:rsidR="007A0697" w:rsidRDefault="007A0697" w:rsidP="007A0697">
      <w:pPr>
        <w:pStyle w:val="Prrafodelista"/>
        <w:tabs>
          <w:tab w:val="left" w:pos="7655"/>
        </w:tabs>
        <w:spacing w:before="240" w:after="240" w:line="360" w:lineRule="auto"/>
        <w:ind w:left="360" w:right="49"/>
        <w:jc w:val="both"/>
        <w:rPr>
          <w:rFonts w:ascii="Palatino Linotype" w:hAnsi="Palatino Linotype" w:cs="Arial"/>
          <w:sz w:val="24"/>
          <w:szCs w:val="24"/>
        </w:rPr>
      </w:pPr>
    </w:p>
    <w:p w:rsidR="00102A1D" w:rsidRDefault="007A0697" w:rsidP="00701720">
      <w:pPr>
        <w:pStyle w:val="Prrafodelista"/>
        <w:numPr>
          <w:ilvl w:val="0"/>
          <w:numId w:val="1"/>
        </w:numPr>
        <w:tabs>
          <w:tab w:val="left" w:pos="7655"/>
        </w:tabs>
        <w:spacing w:before="240" w:after="240" w:line="360" w:lineRule="auto"/>
        <w:ind w:right="49"/>
        <w:jc w:val="both"/>
        <w:rPr>
          <w:rFonts w:ascii="Palatino Linotype" w:hAnsi="Palatino Linotype" w:cs="Arial"/>
          <w:sz w:val="24"/>
          <w:szCs w:val="24"/>
        </w:rPr>
      </w:pPr>
      <w:r>
        <w:rPr>
          <w:rFonts w:ascii="Palatino Linotype" w:hAnsi="Palatino Linotype" w:cs="Arial"/>
          <w:sz w:val="24"/>
          <w:szCs w:val="24"/>
        </w:rPr>
        <w:t xml:space="preserve">No obstante, los transitorios del decreto establecen que entrará en vigor al día siguiente de su publicación, por lo que en ese contexto, no comparto la postura </w:t>
      </w:r>
      <w:r>
        <w:rPr>
          <w:rFonts w:ascii="Palatino Linotype" w:hAnsi="Palatino Linotype" w:cs="Arial"/>
          <w:sz w:val="24"/>
          <w:szCs w:val="24"/>
        </w:rPr>
        <w:lastRenderedPageBreak/>
        <w:t xml:space="preserve">establecida por la ponencia </w:t>
      </w:r>
      <w:proofErr w:type="spellStart"/>
      <w:r>
        <w:rPr>
          <w:rFonts w:ascii="Palatino Linotype" w:hAnsi="Palatino Linotype" w:cs="Arial"/>
          <w:sz w:val="24"/>
          <w:szCs w:val="24"/>
        </w:rPr>
        <w:t>resolutora</w:t>
      </w:r>
      <w:proofErr w:type="spellEnd"/>
      <w:r>
        <w:rPr>
          <w:rFonts w:ascii="Palatino Linotype" w:hAnsi="Palatino Linotype" w:cs="Arial"/>
          <w:sz w:val="24"/>
          <w:szCs w:val="24"/>
        </w:rPr>
        <w:t xml:space="preserve"> ni con la mayoría del pleno que no se generó información correspondiente a ese año de fecha posterior a su creación.</w:t>
      </w:r>
    </w:p>
    <w:p w:rsidR="007A0697" w:rsidRDefault="007A0697" w:rsidP="007A0697">
      <w:pPr>
        <w:pStyle w:val="Prrafodelista"/>
        <w:tabs>
          <w:tab w:val="left" w:pos="7655"/>
        </w:tabs>
        <w:spacing w:before="240" w:after="240" w:line="360" w:lineRule="auto"/>
        <w:ind w:left="360" w:right="49"/>
        <w:jc w:val="both"/>
        <w:rPr>
          <w:rFonts w:ascii="Palatino Linotype" w:hAnsi="Palatino Linotype" w:cs="Arial"/>
          <w:sz w:val="24"/>
          <w:szCs w:val="24"/>
        </w:rPr>
      </w:pPr>
    </w:p>
    <w:p w:rsidR="007A0697" w:rsidRDefault="007A0697" w:rsidP="00701720">
      <w:pPr>
        <w:pStyle w:val="Prrafodelista"/>
        <w:numPr>
          <w:ilvl w:val="0"/>
          <w:numId w:val="1"/>
        </w:numPr>
        <w:tabs>
          <w:tab w:val="left" w:pos="7655"/>
        </w:tabs>
        <w:spacing w:before="240" w:after="240" w:line="360" w:lineRule="auto"/>
        <w:ind w:right="49"/>
        <w:jc w:val="both"/>
        <w:rPr>
          <w:rFonts w:ascii="Palatino Linotype" w:hAnsi="Palatino Linotype" w:cs="Arial"/>
          <w:sz w:val="24"/>
          <w:szCs w:val="24"/>
        </w:rPr>
      </w:pPr>
      <w:r>
        <w:rPr>
          <w:rFonts w:ascii="Palatino Linotype" w:hAnsi="Palatino Linotype" w:cs="Arial"/>
          <w:sz w:val="24"/>
          <w:szCs w:val="24"/>
        </w:rPr>
        <w:t>Es decir, el proyecto de resolución hace alusión que no se ORDENA la entrega de la información correspondiente al año 2006 puesto que la universidad se creó en noviembre de ese año, contrario a ello, sostengo firmemente que si bien es cierto es materialmente imposible que se haya generado información del 01 de enero al 12 de noviembre de ese año, más no así del 14 de noviembre al 31 de diciembre.</w:t>
      </w:r>
    </w:p>
    <w:p w:rsidR="007A0697" w:rsidRPr="007A0697" w:rsidRDefault="007A0697" w:rsidP="007A0697">
      <w:pPr>
        <w:pStyle w:val="Prrafodelista"/>
        <w:rPr>
          <w:rFonts w:ascii="Palatino Linotype" w:hAnsi="Palatino Linotype" w:cs="Arial"/>
          <w:sz w:val="24"/>
          <w:szCs w:val="24"/>
        </w:rPr>
      </w:pPr>
    </w:p>
    <w:p w:rsidR="007A0697" w:rsidRDefault="007A0697" w:rsidP="00701720">
      <w:pPr>
        <w:pStyle w:val="Prrafodelista"/>
        <w:numPr>
          <w:ilvl w:val="0"/>
          <w:numId w:val="1"/>
        </w:numPr>
        <w:tabs>
          <w:tab w:val="left" w:pos="7655"/>
        </w:tabs>
        <w:spacing w:before="240" w:after="240" w:line="360" w:lineRule="auto"/>
        <w:ind w:right="49"/>
        <w:jc w:val="both"/>
        <w:rPr>
          <w:rFonts w:ascii="Palatino Linotype" w:hAnsi="Palatino Linotype" w:cs="Arial"/>
          <w:sz w:val="24"/>
          <w:szCs w:val="24"/>
        </w:rPr>
      </w:pPr>
      <w:r>
        <w:rPr>
          <w:rFonts w:ascii="Palatino Linotype" w:hAnsi="Palatino Linotype" w:cs="Arial"/>
          <w:sz w:val="24"/>
          <w:szCs w:val="24"/>
        </w:rPr>
        <w:t>Por lo que bajo esa aseveración considero que lo idóneo sobre este recurso de revisión debió ser que se ordenara la búsqueda exhaustiva de la información solicitada respecto de la temporalidad que señalé en el párrafo anterior, para que de ser el caso, fuera el propio Sujeto Obligado que manifestara lo conducente para efecto de brindar certeza al particular y</w:t>
      </w:r>
      <w:r w:rsidR="00EB2320">
        <w:rPr>
          <w:rFonts w:ascii="Palatino Linotype" w:hAnsi="Palatino Linotype" w:cs="Arial"/>
          <w:sz w:val="24"/>
          <w:szCs w:val="24"/>
        </w:rPr>
        <w:t xml:space="preserve"> que no fuera la ponencia quien realice suposiciones y otorgue, una vez más, suplencias a favor de los Sujetos Obligados. </w:t>
      </w:r>
    </w:p>
    <w:p w:rsidR="00EB2320" w:rsidRPr="00EB2320" w:rsidRDefault="00EB2320" w:rsidP="00EB2320">
      <w:pPr>
        <w:pStyle w:val="Prrafodelista"/>
        <w:rPr>
          <w:rFonts w:ascii="Palatino Linotype" w:hAnsi="Palatino Linotype" w:cs="Arial"/>
          <w:sz w:val="24"/>
          <w:szCs w:val="24"/>
        </w:rPr>
      </w:pPr>
    </w:p>
    <w:p w:rsidR="00EB2320" w:rsidRDefault="00EB2320" w:rsidP="00701720">
      <w:pPr>
        <w:pStyle w:val="Prrafodelista"/>
        <w:numPr>
          <w:ilvl w:val="0"/>
          <w:numId w:val="1"/>
        </w:numPr>
        <w:tabs>
          <w:tab w:val="left" w:pos="7655"/>
        </w:tabs>
        <w:spacing w:before="240" w:after="240" w:line="360" w:lineRule="auto"/>
        <w:ind w:right="49"/>
        <w:jc w:val="both"/>
        <w:rPr>
          <w:rFonts w:ascii="Palatino Linotype" w:hAnsi="Palatino Linotype" w:cs="Arial"/>
          <w:sz w:val="24"/>
          <w:szCs w:val="24"/>
        </w:rPr>
      </w:pPr>
      <w:r>
        <w:rPr>
          <w:rFonts w:ascii="Palatino Linotype" w:hAnsi="Palatino Linotype" w:cs="Arial"/>
          <w:sz w:val="24"/>
          <w:szCs w:val="24"/>
        </w:rPr>
        <w:t xml:space="preserve">En conclusión sobre este punto considero que al ORDENAR la entrega de la información y que sea el Sujeto Obligado quien entregue la información o bien se pronuncie al respecto de los motivos por los cuales no se generó información del periodo comprendido del 14 de noviembre al 31 de diciembre de 2006 se otorga una correcta tutela al derecho accionado por el particular. </w:t>
      </w:r>
    </w:p>
    <w:p w:rsidR="00EB2320" w:rsidRPr="00EB2320" w:rsidRDefault="00EB2320" w:rsidP="00EB2320">
      <w:pPr>
        <w:pStyle w:val="Prrafodelista"/>
        <w:rPr>
          <w:rFonts w:ascii="Palatino Linotype" w:hAnsi="Palatino Linotype" w:cs="Arial"/>
          <w:sz w:val="24"/>
          <w:szCs w:val="24"/>
        </w:rPr>
      </w:pPr>
    </w:p>
    <w:p w:rsidR="00EB2320" w:rsidRDefault="00EB2320" w:rsidP="00701720">
      <w:pPr>
        <w:pStyle w:val="Prrafodelista"/>
        <w:numPr>
          <w:ilvl w:val="0"/>
          <w:numId w:val="1"/>
        </w:numPr>
        <w:tabs>
          <w:tab w:val="left" w:pos="7655"/>
        </w:tabs>
        <w:spacing w:before="240" w:after="240" w:line="360" w:lineRule="auto"/>
        <w:ind w:right="49"/>
        <w:jc w:val="both"/>
        <w:rPr>
          <w:rFonts w:ascii="Palatino Linotype" w:hAnsi="Palatino Linotype" w:cs="Arial"/>
          <w:sz w:val="24"/>
          <w:szCs w:val="24"/>
        </w:rPr>
      </w:pPr>
      <w:r>
        <w:rPr>
          <w:rFonts w:ascii="Palatino Linotype" w:hAnsi="Palatino Linotype" w:cs="Arial"/>
          <w:sz w:val="24"/>
          <w:szCs w:val="24"/>
        </w:rPr>
        <w:t>Lo conducente en este recurso de revisión debió ser MODIFICAR la respuesta del Sujeto Obligado y ORDENAR la entrega de la información del periodo señalado.</w:t>
      </w:r>
    </w:p>
    <w:p w:rsidR="00EB2320" w:rsidRPr="00EB2320" w:rsidRDefault="00EB2320" w:rsidP="00EB2320">
      <w:pPr>
        <w:pStyle w:val="Prrafodelista"/>
        <w:rPr>
          <w:rFonts w:ascii="Palatino Linotype" w:hAnsi="Palatino Linotype" w:cs="Arial"/>
          <w:sz w:val="24"/>
          <w:szCs w:val="24"/>
        </w:rPr>
      </w:pPr>
    </w:p>
    <w:p w:rsidR="00EB2320" w:rsidRPr="00EB2320" w:rsidRDefault="00EB2320" w:rsidP="00EB2320">
      <w:pPr>
        <w:pStyle w:val="Ttulo1"/>
        <w:numPr>
          <w:ilvl w:val="0"/>
          <w:numId w:val="12"/>
        </w:numPr>
        <w:rPr>
          <w:rFonts w:ascii="Palatino Linotype" w:hAnsi="Palatino Linotype"/>
          <w:b/>
          <w:color w:val="auto"/>
          <w:sz w:val="24"/>
        </w:rPr>
      </w:pPr>
      <w:bookmarkStart w:id="4" w:name="_Toc522548297"/>
      <w:r w:rsidRPr="00EB2320">
        <w:rPr>
          <w:rFonts w:ascii="Palatino Linotype" w:hAnsi="Palatino Linotype"/>
          <w:b/>
          <w:color w:val="auto"/>
          <w:sz w:val="24"/>
        </w:rPr>
        <w:t>Revocar la respuesta del Sujeto Obligado.</w:t>
      </w:r>
      <w:bookmarkEnd w:id="4"/>
    </w:p>
    <w:p w:rsidR="007A0697" w:rsidRPr="007A0697" w:rsidRDefault="007A0697" w:rsidP="007A0697">
      <w:pPr>
        <w:pStyle w:val="Prrafodelista"/>
        <w:rPr>
          <w:rFonts w:ascii="Palatino Linotype" w:hAnsi="Palatino Linotype" w:cs="Arial"/>
          <w:sz w:val="24"/>
          <w:szCs w:val="24"/>
        </w:rPr>
      </w:pPr>
    </w:p>
    <w:p w:rsidR="00EB2320" w:rsidRDefault="00EB2320" w:rsidP="00701720">
      <w:pPr>
        <w:pStyle w:val="Prrafodelista"/>
        <w:numPr>
          <w:ilvl w:val="0"/>
          <w:numId w:val="1"/>
        </w:numPr>
        <w:spacing w:after="0" w:line="360" w:lineRule="auto"/>
        <w:jc w:val="both"/>
        <w:rPr>
          <w:rFonts w:ascii="Palatino Linotype" w:hAnsi="Palatino Linotype" w:cs="Arial"/>
          <w:sz w:val="24"/>
          <w:szCs w:val="24"/>
        </w:rPr>
      </w:pPr>
      <w:r>
        <w:rPr>
          <w:rFonts w:ascii="Palatino Linotype" w:hAnsi="Palatino Linotype" w:cs="Arial"/>
          <w:sz w:val="24"/>
          <w:szCs w:val="24"/>
        </w:rPr>
        <w:t>El segundo punto por el cual formulo el presente voto particular se deriva del sentido de la resolución para el resto de los recursos de revisión en los cuales el Comisionado Ponente y el resto de los Comisionados integrantes del Pleno mediante el cual se revoca la respuesta del Sujeto Obligado y se ORDENA la entrega de la información faltante.</w:t>
      </w:r>
    </w:p>
    <w:p w:rsidR="00EB2320" w:rsidRDefault="00EB2320" w:rsidP="00EB2320">
      <w:pPr>
        <w:pStyle w:val="Prrafodelista"/>
        <w:spacing w:after="0" w:line="360" w:lineRule="auto"/>
        <w:ind w:left="360"/>
        <w:jc w:val="both"/>
        <w:rPr>
          <w:rFonts w:ascii="Palatino Linotype" w:hAnsi="Palatino Linotype" w:cs="Arial"/>
          <w:sz w:val="24"/>
          <w:szCs w:val="24"/>
        </w:rPr>
      </w:pPr>
    </w:p>
    <w:p w:rsidR="00EB2320" w:rsidRDefault="00EB2320" w:rsidP="00701720">
      <w:pPr>
        <w:pStyle w:val="Prrafodelista"/>
        <w:numPr>
          <w:ilvl w:val="0"/>
          <w:numId w:val="1"/>
        </w:num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el cuerpo de la resolución, en diversas ocasiones la ponencia </w:t>
      </w:r>
      <w:proofErr w:type="spellStart"/>
      <w:r>
        <w:rPr>
          <w:rFonts w:ascii="Palatino Linotype" w:hAnsi="Palatino Linotype" w:cs="Arial"/>
          <w:sz w:val="24"/>
          <w:szCs w:val="24"/>
        </w:rPr>
        <w:t>resolutora</w:t>
      </w:r>
      <w:proofErr w:type="spellEnd"/>
      <w:r>
        <w:rPr>
          <w:rFonts w:ascii="Palatino Linotype" w:hAnsi="Palatino Linotype" w:cs="Arial"/>
          <w:sz w:val="24"/>
          <w:szCs w:val="24"/>
        </w:rPr>
        <w:t xml:space="preserve"> indica que el Sujeto Obligado entregó parte de la información solicitada, además que en los resolutivos de la misma agregan la palabra “faltante”.</w:t>
      </w:r>
    </w:p>
    <w:p w:rsidR="00EB2320" w:rsidRPr="00EB2320" w:rsidRDefault="00EB2320" w:rsidP="00EB2320">
      <w:pPr>
        <w:pStyle w:val="Prrafodelista"/>
        <w:rPr>
          <w:rFonts w:ascii="Palatino Linotype" w:hAnsi="Palatino Linotype" w:cs="Arial"/>
          <w:sz w:val="24"/>
          <w:szCs w:val="24"/>
        </w:rPr>
      </w:pPr>
    </w:p>
    <w:p w:rsidR="00EB2320" w:rsidRDefault="00973B1C" w:rsidP="00701720">
      <w:pPr>
        <w:pStyle w:val="Prrafodelista"/>
        <w:numPr>
          <w:ilvl w:val="0"/>
          <w:numId w:val="1"/>
        </w:numPr>
        <w:spacing w:after="0" w:line="360" w:lineRule="auto"/>
        <w:jc w:val="both"/>
        <w:rPr>
          <w:rFonts w:ascii="Palatino Linotype" w:hAnsi="Palatino Linotype" w:cs="Arial"/>
          <w:sz w:val="24"/>
          <w:szCs w:val="24"/>
        </w:rPr>
      </w:pPr>
      <w:r>
        <w:rPr>
          <w:rFonts w:ascii="Palatino Linotype" w:hAnsi="Palatino Linotype" w:cs="Arial"/>
          <w:sz w:val="24"/>
          <w:szCs w:val="24"/>
        </w:rPr>
        <w:t>En ese contexto el 186 de la Ley de Transparencia y Acceso a la Información Pública del Estado de México y Municipios establece lo siguiente:</w:t>
      </w:r>
    </w:p>
    <w:p w:rsidR="00973B1C" w:rsidRPr="00973B1C" w:rsidRDefault="00973B1C" w:rsidP="00973B1C">
      <w:pPr>
        <w:pStyle w:val="Prrafodelista"/>
        <w:rPr>
          <w:rFonts w:ascii="Palatino Linotype" w:hAnsi="Palatino Linotype" w:cs="Arial"/>
          <w:sz w:val="24"/>
          <w:szCs w:val="24"/>
        </w:rPr>
      </w:pPr>
    </w:p>
    <w:p w:rsidR="00973B1C" w:rsidRPr="00973B1C" w:rsidRDefault="00973B1C" w:rsidP="00973B1C">
      <w:pPr>
        <w:autoSpaceDE w:val="0"/>
        <w:autoSpaceDN w:val="0"/>
        <w:adjustRightInd w:val="0"/>
        <w:spacing w:after="0" w:line="360" w:lineRule="auto"/>
        <w:ind w:left="567" w:right="616"/>
        <w:jc w:val="both"/>
        <w:rPr>
          <w:rFonts w:ascii="Palatino Linotype" w:hAnsi="Palatino Linotype" w:cs="Bookman Old Style"/>
          <w:i/>
          <w:szCs w:val="20"/>
        </w:rPr>
      </w:pPr>
      <w:r w:rsidRPr="00973B1C">
        <w:rPr>
          <w:rFonts w:ascii="Palatino Linotype" w:hAnsi="Palatino Linotype" w:cs="Bookman Old Style,Bold"/>
          <w:b/>
          <w:bCs/>
          <w:i/>
          <w:szCs w:val="20"/>
        </w:rPr>
        <w:t xml:space="preserve">Artículo 186. </w:t>
      </w:r>
      <w:r w:rsidRPr="00973B1C">
        <w:rPr>
          <w:rFonts w:ascii="Palatino Linotype" w:hAnsi="Palatino Linotype" w:cs="Bookman Old Style"/>
          <w:i/>
          <w:szCs w:val="20"/>
        </w:rPr>
        <w:t>Las resoluciones del Instituto podrán:</w:t>
      </w:r>
    </w:p>
    <w:p w:rsidR="00973B1C" w:rsidRPr="00973B1C" w:rsidRDefault="00973B1C" w:rsidP="00973B1C">
      <w:pPr>
        <w:autoSpaceDE w:val="0"/>
        <w:autoSpaceDN w:val="0"/>
        <w:adjustRightInd w:val="0"/>
        <w:spacing w:after="0" w:line="360" w:lineRule="auto"/>
        <w:ind w:left="567" w:right="616"/>
        <w:jc w:val="both"/>
        <w:rPr>
          <w:rFonts w:ascii="Palatino Linotype" w:hAnsi="Palatino Linotype" w:cs="Bookman Old Style"/>
          <w:i/>
          <w:szCs w:val="20"/>
        </w:rPr>
      </w:pPr>
      <w:r w:rsidRPr="00973B1C">
        <w:rPr>
          <w:rFonts w:ascii="Palatino Linotype" w:hAnsi="Palatino Linotype" w:cs="Bookman Old Style,Bold"/>
          <w:b/>
          <w:bCs/>
          <w:i/>
          <w:szCs w:val="20"/>
        </w:rPr>
        <w:t xml:space="preserve">I. </w:t>
      </w:r>
      <w:r w:rsidRPr="00973B1C">
        <w:rPr>
          <w:rFonts w:ascii="Palatino Linotype" w:hAnsi="Palatino Linotype" w:cs="Bookman Old Style"/>
          <w:i/>
          <w:szCs w:val="20"/>
        </w:rPr>
        <w:t>Desechar o sobreseer el recurso;</w:t>
      </w:r>
    </w:p>
    <w:p w:rsidR="00973B1C" w:rsidRPr="00973B1C" w:rsidRDefault="00973B1C" w:rsidP="00973B1C">
      <w:pPr>
        <w:autoSpaceDE w:val="0"/>
        <w:autoSpaceDN w:val="0"/>
        <w:adjustRightInd w:val="0"/>
        <w:spacing w:after="0" w:line="360" w:lineRule="auto"/>
        <w:ind w:left="567" w:right="616"/>
        <w:jc w:val="both"/>
        <w:rPr>
          <w:rFonts w:ascii="Palatino Linotype" w:hAnsi="Palatino Linotype" w:cs="Bookman Old Style"/>
          <w:i/>
          <w:szCs w:val="20"/>
        </w:rPr>
      </w:pPr>
      <w:r w:rsidRPr="00973B1C">
        <w:rPr>
          <w:rFonts w:ascii="Palatino Linotype" w:hAnsi="Palatino Linotype" w:cs="Bookman Old Style,Bold"/>
          <w:b/>
          <w:bCs/>
          <w:i/>
          <w:szCs w:val="20"/>
        </w:rPr>
        <w:t xml:space="preserve">II. </w:t>
      </w:r>
      <w:r w:rsidRPr="00973B1C">
        <w:rPr>
          <w:rFonts w:ascii="Palatino Linotype" w:hAnsi="Palatino Linotype" w:cs="Bookman Old Style"/>
          <w:i/>
          <w:szCs w:val="20"/>
        </w:rPr>
        <w:t>Confirmar la respuesta del sujeto obligado;</w:t>
      </w:r>
    </w:p>
    <w:p w:rsidR="00973B1C" w:rsidRPr="00973B1C" w:rsidRDefault="00973B1C" w:rsidP="00973B1C">
      <w:pPr>
        <w:autoSpaceDE w:val="0"/>
        <w:autoSpaceDN w:val="0"/>
        <w:adjustRightInd w:val="0"/>
        <w:spacing w:after="0" w:line="360" w:lineRule="auto"/>
        <w:ind w:left="567" w:right="616"/>
        <w:jc w:val="both"/>
        <w:rPr>
          <w:rFonts w:ascii="Palatino Linotype" w:hAnsi="Palatino Linotype" w:cs="Bookman Old Style"/>
          <w:i/>
          <w:szCs w:val="20"/>
        </w:rPr>
      </w:pPr>
      <w:r w:rsidRPr="00973B1C">
        <w:rPr>
          <w:rFonts w:ascii="Palatino Linotype" w:hAnsi="Palatino Linotype" w:cs="Bookman Old Style,Bold"/>
          <w:b/>
          <w:bCs/>
          <w:i/>
          <w:szCs w:val="20"/>
        </w:rPr>
        <w:t xml:space="preserve">III. </w:t>
      </w:r>
      <w:r w:rsidRPr="00973B1C">
        <w:rPr>
          <w:rFonts w:ascii="Palatino Linotype" w:hAnsi="Palatino Linotype" w:cs="Bookman Old Style"/>
          <w:i/>
          <w:szCs w:val="20"/>
        </w:rPr>
        <w:t>Revocar o modificar la respuesta del sujeto obligado; y</w:t>
      </w:r>
    </w:p>
    <w:p w:rsidR="00973B1C" w:rsidRPr="00973B1C" w:rsidRDefault="00973B1C" w:rsidP="00973B1C">
      <w:pPr>
        <w:pStyle w:val="Prrafodelista"/>
        <w:spacing w:after="0" w:line="360" w:lineRule="auto"/>
        <w:ind w:left="567" w:right="616"/>
        <w:jc w:val="both"/>
        <w:rPr>
          <w:rFonts w:ascii="Palatino Linotype" w:hAnsi="Palatino Linotype" w:cs="Arial"/>
          <w:i/>
          <w:sz w:val="28"/>
          <w:szCs w:val="24"/>
        </w:rPr>
      </w:pPr>
      <w:r w:rsidRPr="00973B1C">
        <w:rPr>
          <w:rFonts w:ascii="Palatino Linotype" w:hAnsi="Palatino Linotype" w:cs="Bookman Old Style,Bold"/>
          <w:b/>
          <w:bCs/>
          <w:i/>
          <w:szCs w:val="20"/>
        </w:rPr>
        <w:lastRenderedPageBreak/>
        <w:t xml:space="preserve">IV. </w:t>
      </w:r>
      <w:r w:rsidRPr="00973B1C">
        <w:rPr>
          <w:rFonts w:ascii="Palatino Linotype" w:hAnsi="Palatino Linotype" w:cs="Bookman Old Style"/>
          <w:i/>
          <w:szCs w:val="20"/>
        </w:rPr>
        <w:t>Ordenar la entrega de la información.</w:t>
      </w:r>
    </w:p>
    <w:p w:rsidR="00EB2320" w:rsidRPr="00EB2320" w:rsidRDefault="00EB2320" w:rsidP="00EB2320">
      <w:pPr>
        <w:pStyle w:val="Prrafodelista"/>
        <w:rPr>
          <w:rFonts w:ascii="Palatino Linotype" w:hAnsi="Palatino Linotype" w:cs="Arial"/>
          <w:sz w:val="24"/>
          <w:szCs w:val="24"/>
        </w:rPr>
      </w:pPr>
    </w:p>
    <w:p w:rsidR="00973B1C" w:rsidRDefault="00973B1C" w:rsidP="00701720">
      <w:pPr>
        <w:pStyle w:val="Prrafodelista"/>
        <w:numPr>
          <w:ilvl w:val="0"/>
          <w:numId w:val="1"/>
        </w:numPr>
        <w:spacing w:after="0" w:line="360" w:lineRule="auto"/>
        <w:jc w:val="both"/>
        <w:rPr>
          <w:rFonts w:ascii="Palatino Linotype" w:hAnsi="Palatino Linotype" w:cs="Arial"/>
          <w:sz w:val="24"/>
          <w:szCs w:val="24"/>
        </w:rPr>
      </w:pPr>
      <w:r>
        <w:rPr>
          <w:rFonts w:ascii="Palatino Linotype" w:hAnsi="Palatino Linotype" w:cs="Arial"/>
          <w:sz w:val="24"/>
          <w:szCs w:val="24"/>
        </w:rPr>
        <w:t>En el presente asunto en particular se resolvió REVOCANDO la respuesta del Sujeto Obligado. Revocar la respuesta otorgada a una solicitud de acceso a la información en estricto sentido supone que ésta no aporta elemento alguno en cuanto a los requerimientos planteados, situación que se debe reforzar en el estudio de la resolución, es decir, se propone revocar la respuesta en aquellos casos en que no atiende ninguno de los requerimientos.</w:t>
      </w:r>
    </w:p>
    <w:p w:rsidR="00973B1C" w:rsidRDefault="00973B1C" w:rsidP="00973B1C">
      <w:pPr>
        <w:pStyle w:val="Prrafodelista"/>
        <w:spacing w:after="0" w:line="360" w:lineRule="auto"/>
        <w:ind w:left="360"/>
        <w:jc w:val="both"/>
        <w:rPr>
          <w:rFonts w:ascii="Palatino Linotype" w:hAnsi="Palatino Linotype" w:cs="Arial"/>
          <w:sz w:val="24"/>
          <w:szCs w:val="24"/>
        </w:rPr>
      </w:pPr>
    </w:p>
    <w:p w:rsidR="00973B1C" w:rsidRDefault="00973B1C" w:rsidP="00701720">
      <w:pPr>
        <w:pStyle w:val="Prrafodelista"/>
        <w:numPr>
          <w:ilvl w:val="0"/>
          <w:numId w:val="1"/>
        </w:numPr>
        <w:spacing w:after="0" w:line="360" w:lineRule="auto"/>
        <w:jc w:val="both"/>
        <w:rPr>
          <w:rFonts w:ascii="Palatino Linotype" w:hAnsi="Palatino Linotype" w:cs="Arial"/>
          <w:sz w:val="24"/>
          <w:szCs w:val="24"/>
        </w:rPr>
      </w:pPr>
      <w:r>
        <w:rPr>
          <w:rFonts w:ascii="Palatino Linotype" w:hAnsi="Palatino Linotype" w:cs="Arial"/>
          <w:sz w:val="24"/>
          <w:szCs w:val="24"/>
        </w:rPr>
        <w:t>A diferencia de revocar una respuesta, el modificarla supone que a través de ésta colma uno o más de los requerimientos pero sin colmar totalmente la solicitud, por lo que el sentido de la resolución va encaminada a ordenar la entrega de la información que no se puso a disposición en respuesta.</w:t>
      </w:r>
    </w:p>
    <w:p w:rsidR="00973B1C" w:rsidRPr="00973B1C" w:rsidRDefault="00973B1C" w:rsidP="00973B1C">
      <w:pPr>
        <w:pStyle w:val="Prrafodelista"/>
        <w:rPr>
          <w:rFonts w:ascii="Palatino Linotype" w:hAnsi="Palatino Linotype" w:cs="Arial"/>
          <w:sz w:val="24"/>
          <w:szCs w:val="24"/>
        </w:rPr>
      </w:pPr>
    </w:p>
    <w:p w:rsidR="00973B1C" w:rsidRDefault="00973B1C" w:rsidP="00701720">
      <w:pPr>
        <w:pStyle w:val="Prrafodelista"/>
        <w:numPr>
          <w:ilvl w:val="0"/>
          <w:numId w:val="1"/>
        </w:numPr>
        <w:spacing w:after="0" w:line="360" w:lineRule="auto"/>
        <w:jc w:val="both"/>
        <w:rPr>
          <w:rFonts w:ascii="Palatino Linotype" w:hAnsi="Palatino Linotype" w:cs="Arial"/>
          <w:sz w:val="24"/>
          <w:szCs w:val="24"/>
        </w:rPr>
      </w:pPr>
      <w:r>
        <w:rPr>
          <w:rFonts w:ascii="Palatino Linotype" w:hAnsi="Palatino Linotype" w:cs="Arial"/>
          <w:sz w:val="24"/>
          <w:szCs w:val="24"/>
        </w:rPr>
        <w:t>En otras palabras, no comparto el sentido de la resolución, pues considero que lo idóneo debió ser modificar la respuesta del Sujeto Obligado y ordenar la entrega de la información que no se entregó en respuesta, toda vez que en el cuerpo de la resolución se aprecia que el Sujeto Obligado dio cumplimiento a diversos requerimientos por lo que el sentido de la resolución no va de acuerdo con el fondo de la misma.</w:t>
      </w:r>
    </w:p>
    <w:p w:rsidR="00973B1C" w:rsidRDefault="00973B1C" w:rsidP="00973B1C">
      <w:pPr>
        <w:spacing w:after="0" w:line="360" w:lineRule="auto"/>
        <w:jc w:val="both"/>
        <w:rPr>
          <w:rFonts w:ascii="Palatino Linotype" w:hAnsi="Palatino Linotype" w:cs="Arial"/>
          <w:sz w:val="24"/>
          <w:szCs w:val="24"/>
        </w:rPr>
      </w:pPr>
    </w:p>
    <w:p w:rsidR="00973B1C" w:rsidRDefault="00973B1C" w:rsidP="00973B1C">
      <w:pPr>
        <w:spacing w:after="0" w:line="360" w:lineRule="auto"/>
        <w:jc w:val="both"/>
        <w:rPr>
          <w:rFonts w:ascii="Palatino Linotype" w:hAnsi="Palatino Linotype" w:cs="Arial"/>
          <w:sz w:val="24"/>
          <w:szCs w:val="24"/>
        </w:rPr>
      </w:pPr>
    </w:p>
    <w:p w:rsidR="00973B1C" w:rsidRPr="00973B1C" w:rsidRDefault="00973B1C" w:rsidP="00973B1C">
      <w:pPr>
        <w:spacing w:after="0" w:line="360" w:lineRule="auto"/>
        <w:jc w:val="both"/>
        <w:rPr>
          <w:rFonts w:ascii="Palatino Linotype" w:hAnsi="Palatino Linotype" w:cs="Arial"/>
          <w:sz w:val="24"/>
          <w:szCs w:val="24"/>
        </w:rPr>
      </w:pPr>
    </w:p>
    <w:p w:rsidR="0046491C" w:rsidRPr="00701720" w:rsidRDefault="00A35520" w:rsidP="00701720">
      <w:pPr>
        <w:pStyle w:val="Ttulo1"/>
        <w:numPr>
          <w:ilvl w:val="0"/>
          <w:numId w:val="12"/>
        </w:numPr>
        <w:spacing w:line="360" w:lineRule="auto"/>
        <w:rPr>
          <w:rFonts w:ascii="Palatino Linotype" w:hAnsi="Palatino Linotype"/>
          <w:b/>
          <w:color w:val="auto"/>
          <w:sz w:val="24"/>
          <w:szCs w:val="24"/>
        </w:rPr>
      </w:pPr>
      <w:bookmarkStart w:id="5" w:name="_Toc522548298"/>
      <w:r w:rsidRPr="00701720">
        <w:rPr>
          <w:rFonts w:ascii="Palatino Linotype" w:hAnsi="Palatino Linotype"/>
          <w:b/>
          <w:color w:val="auto"/>
          <w:sz w:val="24"/>
          <w:szCs w:val="24"/>
        </w:rPr>
        <w:lastRenderedPageBreak/>
        <w:t xml:space="preserve">El sentido de la resolución debe adecuarse </w:t>
      </w:r>
      <w:r w:rsidR="00DB5EF6" w:rsidRPr="00701720">
        <w:rPr>
          <w:rFonts w:ascii="Palatino Linotype" w:hAnsi="Palatino Linotype"/>
          <w:b/>
          <w:color w:val="auto"/>
          <w:sz w:val="24"/>
          <w:szCs w:val="24"/>
        </w:rPr>
        <w:t>conforme</w:t>
      </w:r>
      <w:r w:rsidRPr="00701720">
        <w:rPr>
          <w:rFonts w:ascii="Palatino Linotype" w:hAnsi="Palatino Linotype"/>
          <w:b/>
          <w:color w:val="auto"/>
          <w:sz w:val="24"/>
          <w:szCs w:val="24"/>
        </w:rPr>
        <w:t xml:space="preserve"> al fondo del asunto.</w:t>
      </w:r>
      <w:bookmarkEnd w:id="5"/>
    </w:p>
    <w:p w:rsidR="0046491C" w:rsidRPr="00701720" w:rsidRDefault="0046491C" w:rsidP="00701720">
      <w:pPr>
        <w:pStyle w:val="Prrafodelista"/>
        <w:spacing w:after="0" w:line="360" w:lineRule="auto"/>
        <w:ind w:left="1080"/>
        <w:jc w:val="both"/>
        <w:rPr>
          <w:rFonts w:ascii="Palatino Linotype" w:hAnsi="Palatino Linotype" w:cs="Arial"/>
          <w:b/>
          <w:sz w:val="24"/>
          <w:szCs w:val="24"/>
        </w:rPr>
      </w:pPr>
    </w:p>
    <w:p w:rsidR="00721927" w:rsidRDefault="00721927" w:rsidP="00721927">
      <w:pPr>
        <w:pStyle w:val="Prrafodelista"/>
        <w:numPr>
          <w:ilvl w:val="0"/>
          <w:numId w:val="1"/>
        </w:numPr>
        <w:spacing w:after="0" w:line="360" w:lineRule="auto"/>
        <w:ind w:left="426"/>
        <w:jc w:val="both"/>
        <w:rPr>
          <w:rFonts w:ascii="Palatino Linotype" w:hAnsi="Palatino Linotype" w:cs="Arial"/>
          <w:sz w:val="24"/>
          <w:szCs w:val="24"/>
        </w:rPr>
      </w:pPr>
      <w:r>
        <w:rPr>
          <w:rFonts w:ascii="Palatino Linotype" w:hAnsi="Palatino Linotype" w:cs="Arial"/>
          <w:sz w:val="24"/>
          <w:szCs w:val="24"/>
        </w:rPr>
        <w:t>La Ley de Transparencia y Acceso a la Información Pública dispone que el Órgano Garante debe regir su actuar bajo los principios del artículo 9, entre los que se encuentra el principio de objetividad, mismo que establece la obligación del Instituto de ajustar su actuación a los presupuestos de ley que deben ser aplicados al analizar en concreto y resolver todos los hechos, prescindiendo de las consideraciones y criterios personales.</w:t>
      </w:r>
    </w:p>
    <w:p w:rsidR="00721927" w:rsidRDefault="00721927" w:rsidP="00721927">
      <w:pPr>
        <w:pStyle w:val="Prrafodelista"/>
        <w:spacing w:after="0" w:line="360" w:lineRule="auto"/>
        <w:ind w:left="426"/>
        <w:jc w:val="both"/>
        <w:rPr>
          <w:rFonts w:ascii="Palatino Linotype" w:hAnsi="Palatino Linotype" w:cs="Arial"/>
          <w:sz w:val="24"/>
          <w:szCs w:val="24"/>
        </w:rPr>
      </w:pPr>
    </w:p>
    <w:p w:rsidR="00721927" w:rsidRDefault="0046491C" w:rsidP="00721927">
      <w:pPr>
        <w:pStyle w:val="Prrafodelista"/>
        <w:numPr>
          <w:ilvl w:val="0"/>
          <w:numId w:val="1"/>
        </w:numPr>
        <w:spacing w:after="0" w:line="360" w:lineRule="auto"/>
        <w:ind w:left="426"/>
        <w:jc w:val="both"/>
        <w:rPr>
          <w:rFonts w:ascii="Palatino Linotype" w:hAnsi="Palatino Linotype" w:cs="Arial"/>
          <w:sz w:val="24"/>
          <w:szCs w:val="24"/>
        </w:rPr>
      </w:pPr>
      <w:r w:rsidRPr="00701720">
        <w:rPr>
          <w:rFonts w:ascii="Palatino Linotype" w:hAnsi="Palatino Linotype" w:cs="Arial"/>
          <w:sz w:val="24"/>
          <w:szCs w:val="24"/>
        </w:rPr>
        <w:t xml:space="preserve">En la resolución se precisa de manera amplia y solvente, </w:t>
      </w:r>
      <w:r w:rsidR="0048389B" w:rsidRPr="00701720">
        <w:rPr>
          <w:rFonts w:ascii="Palatino Linotype" w:hAnsi="Palatino Linotype" w:cs="Arial"/>
          <w:sz w:val="24"/>
          <w:szCs w:val="24"/>
        </w:rPr>
        <w:t xml:space="preserve">que el </w:t>
      </w:r>
      <w:r w:rsidR="0048389B" w:rsidRPr="00701720">
        <w:rPr>
          <w:rFonts w:ascii="Palatino Linotype" w:hAnsi="Palatino Linotype" w:cs="Arial"/>
          <w:b/>
          <w:sz w:val="24"/>
          <w:szCs w:val="24"/>
        </w:rPr>
        <w:t>SUJETO OBLIGADO</w:t>
      </w:r>
      <w:r w:rsidR="0048389B" w:rsidRPr="00701720">
        <w:rPr>
          <w:rFonts w:ascii="Palatino Linotype" w:hAnsi="Palatino Linotype" w:cs="Arial"/>
          <w:sz w:val="24"/>
          <w:szCs w:val="24"/>
        </w:rPr>
        <w:t xml:space="preserve"> cumplió acertadamente con parte de</w:t>
      </w:r>
      <w:r w:rsidR="00973B1C">
        <w:rPr>
          <w:rFonts w:ascii="Palatino Linotype" w:hAnsi="Palatino Linotype" w:cs="Arial"/>
          <w:sz w:val="24"/>
          <w:szCs w:val="24"/>
        </w:rPr>
        <w:t xml:space="preserve"> la información solicitada</w:t>
      </w:r>
      <w:r w:rsidR="0048389B" w:rsidRPr="00701720">
        <w:rPr>
          <w:rFonts w:ascii="Palatino Linotype" w:hAnsi="Palatino Linotype" w:cs="Arial"/>
          <w:sz w:val="24"/>
          <w:szCs w:val="24"/>
        </w:rPr>
        <w:t xml:space="preserve">, </w:t>
      </w:r>
      <w:r w:rsidR="00973B1C">
        <w:rPr>
          <w:rFonts w:ascii="Palatino Linotype" w:hAnsi="Palatino Linotype" w:cs="Arial"/>
          <w:sz w:val="24"/>
          <w:szCs w:val="24"/>
        </w:rPr>
        <w:t xml:space="preserve">tan es así que al redactar los resolutivos hacen mención de la palabra “faltante” lo que supone que la ponencia </w:t>
      </w:r>
      <w:proofErr w:type="spellStart"/>
      <w:r w:rsidR="00973B1C">
        <w:rPr>
          <w:rFonts w:ascii="Palatino Linotype" w:hAnsi="Palatino Linotype" w:cs="Arial"/>
          <w:sz w:val="24"/>
          <w:szCs w:val="24"/>
        </w:rPr>
        <w:t>resolutora</w:t>
      </w:r>
      <w:proofErr w:type="spellEnd"/>
      <w:r w:rsidR="00973B1C">
        <w:rPr>
          <w:rFonts w:ascii="Palatino Linotype" w:hAnsi="Palatino Linotype" w:cs="Arial"/>
          <w:sz w:val="24"/>
          <w:szCs w:val="24"/>
        </w:rPr>
        <w:t xml:space="preserve"> está tomando en consideración que el Sujeto Obligado cumplió con al menos uno de los requerimientos planteados por el particular.</w:t>
      </w:r>
    </w:p>
    <w:p w:rsidR="00721927" w:rsidRDefault="00721927" w:rsidP="00721927">
      <w:pPr>
        <w:pStyle w:val="Prrafodelista"/>
        <w:spacing w:after="0" w:line="360" w:lineRule="auto"/>
        <w:ind w:left="426"/>
        <w:jc w:val="both"/>
        <w:rPr>
          <w:rFonts w:ascii="Palatino Linotype" w:hAnsi="Palatino Linotype" w:cs="Arial"/>
          <w:sz w:val="24"/>
          <w:szCs w:val="24"/>
        </w:rPr>
      </w:pPr>
    </w:p>
    <w:p w:rsidR="00721927" w:rsidRPr="00721927" w:rsidRDefault="00721927" w:rsidP="00721927">
      <w:pPr>
        <w:pStyle w:val="Prrafodelista"/>
        <w:numPr>
          <w:ilvl w:val="0"/>
          <w:numId w:val="1"/>
        </w:numPr>
        <w:spacing w:after="0" w:line="360" w:lineRule="auto"/>
        <w:ind w:left="426"/>
        <w:jc w:val="both"/>
        <w:rPr>
          <w:rFonts w:ascii="Palatino Linotype" w:hAnsi="Palatino Linotype" w:cs="Arial"/>
          <w:sz w:val="24"/>
          <w:szCs w:val="24"/>
        </w:rPr>
      </w:pPr>
      <w:r>
        <w:rPr>
          <w:rFonts w:ascii="Palatino Linotype" w:hAnsi="Palatino Linotype" w:cs="Arial"/>
          <w:sz w:val="24"/>
          <w:szCs w:val="24"/>
        </w:rPr>
        <w:t>Siguiendo en ese contexto se aprecia de la simple lectura a la resolución que el fondo del asunto no va conforme a lo que se resuelve puesto que es contradictorio ordenar la entrega de la información faltante cuando la resolución puntualmente determina REVOCAR la respuesta.</w:t>
      </w:r>
    </w:p>
    <w:p w:rsidR="00973B1C" w:rsidRDefault="00973B1C" w:rsidP="00973B1C">
      <w:pPr>
        <w:pStyle w:val="Prrafodelista"/>
        <w:spacing w:after="0" w:line="360" w:lineRule="auto"/>
        <w:ind w:left="426"/>
        <w:jc w:val="both"/>
        <w:rPr>
          <w:rFonts w:ascii="Palatino Linotype" w:hAnsi="Palatino Linotype" w:cs="Arial"/>
          <w:sz w:val="24"/>
          <w:szCs w:val="24"/>
        </w:rPr>
      </w:pPr>
    </w:p>
    <w:p w:rsidR="007A45EB" w:rsidRDefault="00721927" w:rsidP="00701720">
      <w:pPr>
        <w:pStyle w:val="Prrafodelista"/>
        <w:numPr>
          <w:ilvl w:val="0"/>
          <w:numId w:val="1"/>
        </w:numPr>
        <w:spacing w:after="0" w:line="360" w:lineRule="auto"/>
        <w:ind w:left="426"/>
        <w:jc w:val="both"/>
        <w:rPr>
          <w:rFonts w:ascii="Palatino Linotype" w:hAnsi="Palatino Linotype" w:cs="Arial"/>
          <w:sz w:val="24"/>
          <w:szCs w:val="24"/>
        </w:rPr>
      </w:pPr>
      <w:r>
        <w:rPr>
          <w:rFonts w:ascii="Palatino Linotype" w:hAnsi="Palatino Linotype" w:cs="Arial"/>
          <w:sz w:val="24"/>
          <w:szCs w:val="24"/>
        </w:rPr>
        <w:lastRenderedPageBreak/>
        <w:t xml:space="preserve">Es así que </w:t>
      </w:r>
      <w:r w:rsidR="007A45EB" w:rsidRPr="00701720">
        <w:rPr>
          <w:rFonts w:ascii="Palatino Linotype" w:hAnsi="Palatino Linotype" w:cs="Arial"/>
          <w:sz w:val="24"/>
          <w:szCs w:val="24"/>
        </w:rPr>
        <w:t>el sentido de la resolución que adopta el pleno de este instituto no es el apropiado para el fondo del asunto, bajo los supuestos que he expuesto en el presente voto particular en el que he concurrido.</w:t>
      </w:r>
    </w:p>
    <w:p w:rsidR="00721927" w:rsidRPr="00721927" w:rsidRDefault="00721927" w:rsidP="00721927">
      <w:pPr>
        <w:pStyle w:val="Prrafodelista"/>
        <w:rPr>
          <w:rFonts w:ascii="Palatino Linotype" w:hAnsi="Palatino Linotype" w:cs="Arial"/>
          <w:sz w:val="24"/>
          <w:szCs w:val="24"/>
        </w:rPr>
      </w:pPr>
    </w:p>
    <w:p w:rsidR="00721927" w:rsidRDefault="00721927" w:rsidP="00721927">
      <w:pPr>
        <w:pStyle w:val="Ttulo1"/>
        <w:numPr>
          <w:ilvl w:val="0"/>
          <w:numId w:val="12"/>
        </w:numPr>
        <w:rPr>
          <w:rFonts w:ascii="Palatino Linotype" w:hAnsi="Palatino Linotype"/>
          <w:b/>
          <w:color w:val="auto"/>
          <w:sz w:val="24"/>
        </w:rPr>
      </w:pPr>
      <w:bookmarkStart w:id="6" w:name="_Toc522548299"/>
      <w:r w:rsidRPr="00721927">
        <w:rPr>
          <w:rFonts w:ascii="Palatino Linotype" w:hAnsi="Palatino Linotype"/>
          <w:b/>
          <w:color w:val="auto"/>
          <w:sz w:val="24"/>
        </w:rPr>
        <w:t>Conclusión</w:t>
      </w:r>
      <w:bookmarkEnd w:id="6"/>
    </w:p>
    <w:p w:rsidR="0022073B" w:rsidRPr="0022073B" w:rsidRDefault="0022073B" w:rsidP="0022073B"/>
    <w:p w:rsidR="00721927" w:rsidRPr="00721927" w:rsidRDefault="00721927" w:rsidP="00721927">
      <w:pPr>
        <w:pStyle w:val="Prrafodelista"/>
        <w:rPr>
          <w:rFonts w:ascii="Palatino Linotype" w:hAnsi="Palatino Linotype" w:cs="Arial"/>
          <w:sz w:val="24"/>
          <w:szCs w:val="24"/>
        </w:rPr>
      </w:pPr>
    </w:p>
    <w:p w:rsidR="00721927" w:rsidRDefault="00721927" w:rsidP="00701720">
      <w:pPr>
        <w:pStyle w:val="Prrafodelista"/>
        <w:numPr>
          <w:ilvl w:val="0"/>
          <w:numId w:val="1"/>
        </w:numPr>
        <w:spacing w:after="0" w:line="360" w:lineRule="auto"/>
        <w:ind w:left="426"/>
        <w:jc w:val="both"/>
        <w:rPr>
          <w:rFonts w:ascii="Palatino Linotype" w:hAnsi="Palatino Linotype" w:cs="Arial"/>
          <w:sz w:val="24"/>
          <w:szCs w:val="24"/>
        </w:rPr>
      </w:pPr>
      <w:r>
        <w:rPr>
          <w:rFonts w:ascii="Palatino Linotype" w:hAnsi="Palatino Linotype" w:cs="Arial"/>
          <w:sz w:val="24"/>
          <w:szCs w:val="24"/>
        </w:rPr>
        <w:t>Las resoluciones que emita el pleno de este instituto deben guardar congruencia con el fondo de lo que se resuelve, toda vez que de ese modo se brinda una correcta tutela al derecho accionado por el particular a la vez que se le brinda certeza que resolvemos confor</w:t>
      </w:r>
      <w:r w:rsidR="0022073B">
        <w:rPr>
          <w:rFonts w:ascii="Palatino Linotype" w:hAnsi="Palatino Linotype" w:cs="Arial"/>
          <w:sz w:val="24"/>
          <w:szCs w:val="24"/>
        </w:rPr>
        <w:t>me a los criterios de legalidad y objetividad.</w:t>
      </w:r>
    </w:p>
    <w:p w:rsidR="0022073B" w:rsidRPr="00701720" w:rsidRDefault="0022073B" w:rsidP="0022073B">
      <w:pPr>
        <w:pStyle w:val="Prrafodelista"/>
        <w:spacing w:after="0" w:line="360" w:lineRule="auto"/>
        <w:ind w:left="426"/>
        <w:jc w:val="both"/>
        <w:rPr>
          <w:rFonts w:ascii="Palatino Linotype" w:hAnsi="Palatino Linotype" w:cs="Arial"/>
          <w:sz w:val="24"/>
          <w:szCs w:val="24"/>
        </w:rPr>
      </w:pPr>
    </w:p>
    <w:p w:rsidR="0046491C" w:rsidRDefault="0046491C" w:rsidP="00701720">
      <w:pPr>
        <w:spacing w:after="0" w:line="360" w:lineRule="auto"/>
        <w:jc w:val="both"/>
        <w:rPr>
          <w:rFonts w:ascii="Palatino Linotype" w:hAnsi="Palatino Linotype" w:cs="Arial"/>
          <w:sz w:val="24"/>
          <w:szCs w:val="24"/>
        </w:rPr>
      </w:pPr>
    </w:p>
    <w:p w:rsidR="0022073B" w:rsidRDefault="0022073B" w:rsidP="00701720">
      <w:pPr>
        <w:spacing w:after="0" w:line="360" w:lineRule="auto"/>
        <w:jc w:val="both"/>
        <w:rPr>
          <w:rFonts w:ascii="Palatino Linotype" w:hAnsi="Palatino Linotype" w:cs="Arial"/>
          <w:sz w:val="24"/>
          <w:szCs w:val="24"/>
        </w:rPr>
      </w:pPr>
    </w:p>
    <w:p w:rsidR="0022073B" w:rsidRDefault="0022073B" w:rsidP="00701720">
      <w:pPr>
        <w:spacing w:after="0" w:line="360" w:lineRule="auto"/>
        <w:jc w:val="both"/>
        <w:rPr>
          <w:rFonts w:ascii="Palatino Linotype" w:hAnsi="Palatino Linotype" w:cs="Arial"/>
          <w:sz w:val="24"/>
          <w:szCs w:val="24"/>
        </w:rPr>
      </w:pPr>
    </w:p>
    <w:p w:rsidR="0022073B" w:rsidRPr="00701720" w:rsidRDefault="0022073B" w:rsidP="00701720">
      <w:pPr>
        <w:spacing w:after="0" w:line="360" w:lineRule="auto"/>
        <w:jc w:val="both"/>
        <w:rPr>
          <w:rFonts w:ascii="Palatino Linotype" w:hAnsi="Palatino Linotype" w:cs="Arial"/>
          <w:sz w:val="24"/>
          <w:szCs w:val="24"/>
        </w:rPr>
      </w:pPr>
    </w:p>
    <w:p w:rsidR="0046491C" w:rsidRPr="00701720" w:rsidRDefault="0046491C" w:rsidP="00701720">
      <w:pPr>
        <w:spacing w:line="360" w:lineRule="auto"/>
        <w:rPr>
          <w:rFonts w:ascii="Palatino Linotype" w:hAnsi="Palatino Linotype"/>
          <w:sz w:val="24"/>
          <w:szCs w:val="24"/>
        </w:rPr>
      </w:pPr>
    </w:p>
    <w:p w:rsidR="0046491C" w:rsidRPr="00701720" w:rsidRDefault="0046491C" w:rsidP="00701720">
      <w:pPr>
        <w:pStyle w:val="Sinespaciado"/>
        <w:spacing w:line="360" w:lineRule="auto"/>
        <w:jc w:val="center"/>
        <w:rPr>
          <w:rFonts w:ascii="Palatino Linotype" w:hAnsi="Palatino Linotype"/>
          <w:b/>
          <w:sz w:val="24"/>
          <w:szCs w:val="24"/>
        </w:rPr>
      </w:pPr>
      <w:r w:rsidRPr="00701720">
        <w:rPr>
          <w:rFonts w:ascii="Palatino Linotype" w:hAnsi="Palatino Linotype"/>
          <w:b/>
          <w:sz w:val="24"/>
          <w:szCs w:val="24"/>
        </w:rPr>
        <w:t>JOSÉ GUADALUPE LUNA HERNÁNDEZ</w:t>
      </w:r>
    </w:p>
    <w:p w:rsidR="0046491C" w:rsidRPr="00701720" w:rsidRDefault="0046491C" w:rsidP="00701720">
      <w:pPr>
        <w:spacing w:line="360" w:lineRule="auto"/>
        <w:jc w:val="center"/>
        <w:rPr>
          <w:rFonts w:ascii="Palatino Linotype" w:hAnsi="Palatino Linotype"/>
        </w:rPr>
      </w:pPr>
      <w:r w:rsidRPr="00701720">
        <w:rPr>
          <w:rFonts w:ascii="Palatino Linotype" w:hAnsi="Palatino Linotype"/>
          <w:b/>
          <w:sz w:val="24"/>
          <w:szCs w:val="24"/>
        </w:rPr>
        <w:t>COMISIONADO</w:t>
      </w:r>
    </w:p>
    <w:p w:rsidR="00D33AF9" w:rsidRDefault="00D33AF9" w:rsidP="00701720">
      <w:pPr>
        <w:spacing w:line="360" w:lineRule="auto"/>
        <w:jc w:val="center"/>
        <w:rPr>
          <w:rFonts w:ascii="Palatino Linotype" w:hAnsi="Palatino Linotype"/>
          <w:b/>
          <w:sz w:val="24"/>
          <w:szCs w:val="24"/>
        </w:rPr>
      </w:pPr>
      <w:r w:rsidRPr="00701720">
        <w:rPr>
          <w:rFonts w:ascii="Palatino Linotype" w:hAnsi="Palatino Linotype"/>
          <w:b/>
          <w:sz w:val="24"/>
          <w:szCs w:val="24"/>
        </w:rPr>
        <w:t>(Rúbrica)</w:t>
      </w:r>
    </w:p>
    <w:p w:rsidR="0022073B" w:rsidRPr="00701720" w:rsidRDefault="0022073B" w:rsidP="0022073B">
      <w:pPr>
        <w:spacing w:line="360" w:lineRule="auto"/>
        <w:rPr>
          <w:rFonts w:ascii="Palatino Linotype" w:hAnsi="Palatino Linotype"/>
          <w:b/>
          <w:sz w:val="24"/>
          <w:szCs w:val="24"/>
        </w:rPr>
      </w:pPr>
      <w:r>
        <w:rPr>
          <w:rFonts w:ascii="Palatino Linotype" w:hAnsi="Palatino Linotype"/>
          <w:b/>
          <w:sz w:val="24"/>
          <w:szCs w:val="24"/>
        </w:rPr>
        <w:t>JGLH/ADM</w:t>
      </w:r>
    </w:p>
    <w:sectPr w:rsidR="0022073B" w:rsidRPr="00701720" w:rsidSect="00A452AD">
      <w:headerReference w:type="even" r:id="rId9"/>
      <w:headerReference w:type="default" r:id="rId10"/>
      <w:footerReference w:type="even" r:id="rId11"/>
      <w:footerReference w:type="default" r:id="rId12"/>
      <w:headerReference w:type="first" r:id="rId13"/>
      <w:footerReference w:type="first" r:id="rId14"/>
      <w:pgSz w:w="12240" w:h="15840" w:code="1"/>
      <w:pgMar w:top="2410"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1A65" w:rsidRDefault="00C21A65" w:rsidP="00E706DA">
      <w:pPr>
        <w:spacing w:after="0" w:line="240" w:lineRule="auto"/>
      </w:pPr>
      <w:r>
        <w:separator/>
      </w:r>
    </w:p>
  </w:endnote>
  <w:endnote w:type="continuationSeparator" w:id="0">
    <w:p w:rsidR="00C21A65" w:rsidRDefault="00C21A65" w:rsidP="00E7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2AD" w:rsidRDefault="00A452A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465616"/>
      <w:docPartObj>
        <w:docPartGallery w:val="Page Numbers (Bottom of Page)"/>
        <w:docPartUnique/>
      </w:docPartObj>
    </w:sdtPr>
    <w:sdtEndPr/>
    <w:sdtContent>
      <w:sdt>
        <w:sdtPr>
          <w:id w:val="1012499541"/>
          <w:docPartObj>
            <w:docPartGallery w:val="Page Numbers (Top of Page)"/>
            <w:docPartUnique/>
          </w:docPartObj>
        </w:sdtPr>
        <w:sdtEndPr/>
        <w:sdtContent>
          <w:p w:rsidR="00A452AD" w:rsidRDefault="00073F0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394410">
              <w:rPr>
                <w:rFonts w:ascii="Palatino Linotype" w:hAnsi="Palatino Linotype"/>
                <w:b/>
                <w:bCs/>
                <w:noProof/>
                <w:sz w:val="20"/>
                <w:szCs w:val="20"/>
              </w:rPr>
              <w:t>10</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394410">
              <w:rPr>
                <w:rFonts w:ascii="Palatino Linotype" w:hAnsi="Palatino Linotype"/>
                <w:b/>
                <w:bCs/>
                <w:noProof/>
                <w:sz w:val="20"/>
                <w:szCs w:val="20"/>
              </w:rPr>
              <w:t>10</w:t>
            </w:r>
            <w:r w:rsidRPr="0052203D">
              <w:rPr>
                <w:rFonts w:ascii="Palatino Linotype" w:hAnsi="Palatino Linotype"/>
                <w:b/>
                <w:bCs/>
                <w:sz w:val="20"/>
                <w:szCs w:val="20"/>
              </w:rPr>
              <w:fldChar w:fldCharType="end"/>
            </w:r>
          </w:p>
        </w:sdtContent>
      </w:sdt>
    </w:sdtContent>
  </w:sdt>
  <w:p w:rsidR="00A452AD" w:rsidRDefault="00A452AD">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2AD" w:rsidRDefault="00A452A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1A65" w:rsidRDefault="00C21A65" w:rsidP="00E706DA">
      <w:pPr>
        <w:spacing w:after="0" w:line="240" w:lineRule="auto"/>
      </w:pPr>
      <w:r>
        <w:separator/>
      </w:r>
    </w:p>
  </w:footnote>
  <w:footnote w:type="continuationSeparator" w:id="0">
    <w:p w:rsidR="00C21A65" w:rsidRDefault="00C21A65" w:rsidP="00E706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2AD" w:rsidRDefault="00C21A6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2AD" w:rsidRDefault="00C21A6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1"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A452AD" w:rsidRDefault="00A452A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2AD" w:rsidRDefault="00C21A6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49"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D646B"/>
    <w:multiLevelType w:val="hybridMultilevel"/>
    <w:tmpl w:val="684CA87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89530D"/>
    <w:multiLevelType w:val="hybridMultilevel"/>
    <w:tmpl w:val="15584D4E"/>
    <w:lvl w:ilvl="0" w:tplc="A7BC82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54A3428"/>
    <w:multiLevelType w:val="hybridMultilevel"/>
    <w:tmpl w:val="CD42EC9E"/>
    <w:lvl w:ilvl="0" w:tplc="E8D6F5EE">
      <w:start w:val="4"/>
      <w:numFmt w:val="upperRoman"/>
      <w:lvlText w:val="%1."/>
      <w:lvlJc w:val="left"/>
      <w:pPr>
        <w:ind w:left="1080" w:hanging="720"/>
      </w:pPr>
      <w:rPr>
        <w:rFonts w:ascii="Palatino Linotype" w:eastAsiaTheme="majorEastAsia" w:hAnsi="Palatino Linotype" w:cstheme="majorBidi"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77202FA"/>
    <w:multiLevelType w:val="hybridMultilevel"/>
    <w:tmpl w:val="8A766AD2"/>
    <w:lvl w:ilvl="0" w:tplc="72EA014A">
      <w:start w:val="1"/>
      <w:numFmt w:val="decimal"/>
      <w:lvlText w:val="%1."/>
      <w:lvlJc w:val="left"/>
      <w:pPr>
        <w:ind w:left="360" w:hanging="360"/>
      </w:pPr>
      <w:rPr>
        <w:rFonts w:ascii="Palatino Linotype" w:eastAsia="Times New Roman"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7910C6E"/>
    <w:multiLevelType w:val="hybridMultilevel"/>
    <w:tmpl w:val="E14A8AFA"/>
    <w:lvl w:ilvl="0" w:tplc="9808DF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
  </w:num>
  <w:num w:numId="3">
    <w:abstractNumId w:val="3"/>
  </w:num>
  <w:num w:numId="4">
    <w:abstractNumId w:val="5"/>
  </w:num>
  <w:num w:numId="5">
    <w:abstractNumId w:val="6"/>
  </w:num>
  <w:num w:numId="6">
    <w:abstractNumId w:val="8"/>
  </w:num>
  <w:num w:numId="7">
    <w:abstractNumId w:val="10"/>
  </w:num>
  <w:num w:numId="8">
    <w:abstractNumId w:val="9"/>
  </w:num>
  <w:num w:numId="9">
    <w:abstractNumId w:val="12"/>
  </w:num>
  <w:num w:numId="10">
    <w:abstractNumId w:val="2"/>
  </w:num>
  <w:num w:numId="11">
    <w:abstractNumId w:val="11"/>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DA"/>
    <w:rsid w:val="0000525F"/>
    <w:rsid w:val="00073F0D"/>
    <w:rsid w:val="00076995"/>
    <w:rsid w:val="000951B4"/>
    <w:rsid w:val="000A7B66"/>
    <w:rsid w:val="000B10FB"/>
    <w:rsid w:val="000C1EAC"/>
    <w:rsid w:val="000D21B2"/>
    <w:rsid w:val="000E116E"/>
    <w:rsid w:val="000F6CBB"/>
    <w:rsid w:val="00102A1D"/>
    <w:rsid w:val="001032E9"/>
    <w:rsid w:val="00122625"/>
    <w:rsid w:val="00163EA9"/>
    <w:rsid w:val="001C4781"/>
    <w:rsid w:val="001D3F34"/>
    <w:rsid w:val="002036ED"/>
    <w:rsid w:val="0022073B"/>
    <w:rsid w:val="002620E9"/>
    <w:rsid w:val="00281310"/>
    <w:rsid w:val="002C1F75"/>
    <w:rsid w:val="00351A99"/>
    <w:rsid w:val="003705BB"/>
    <w:rsid w:val="003747A5"/>
    <w:rsid w:val="00394410"/>
    <w:rsid w:val="003A106A"/>
    <w:rsid w:val="003A4516"/>
    <w:rsid w:val="003E583E"/>
    <w:rsid w:val="0046491C"/>
    <w:rsid w:val="00480635"/>
    <w:rsid w:val="0048389B"/>
    <w:rsid w:val="0048398A"/>
    <w:rsid w:val="005571B2"/>
    <w:rsid w:val="00577A94"/>
    <w:rsid w:val="005A3267"/>
    <w:rsid w:val="00634736"/>
    <w:rsid w:val="006728FD"/>
    <w:rsid w:val="00701720"/>
    <w:rsid w:val="00717C0D"/>
    <w:rsid w:val="0072136B"/>
    <w:rsid w:val="00721927"/>
    <w:rsid w:val="007624F6"/>
    <w:rsid w:val="00770016"/>
    <w:rsid w:val="00790E37"/>
    <w:rsid w:val="007A0697"/>
    <w:rsid w:val="007A45EB"/>
    <w:rsid w:val="007B0C38"/>
    <w:rsid w:val="007C168F"/>
    <w:rsid w:val="00814E97"/>
    <w:rsid w:val="008361CA"/>
    <w:rsid w:val="00850252"/>
    <w:rsid w:val="00856FA1"/>
    <w:rsid w:val="008822B3"/>
    <w:rsid w:val="008B03B6"/>
    <w:rsid w:val="008F3E81"/>
    <w:rsid w:val="00900E75"/>
    <w:rsid w:val="00902248"/>
    <w:rsid w:val="00937D7D"/>
    <w:rsid w:val="00951D24"/>
    <w:rsid w:val="00973B1C"/>
    <w:rsid w:val="009C4599"/>
    <w:rsid w:val="00A050DF"/>
    <w:rsid w:val="00A35520"/>
    <w:rsid w:val="00A3688A"/>
    <w:rsid w:val="00A452AD"/>
    <w:rsid w:val="00A63717"/>
    <w:rsid w:val="00A700E3"/>
    <w:rsid w:val="00A84F55"/>
    <w:rsid w:val="00AA49F3"/>
    <w:rsid w:val="00AA4A3A"/>
    <w:rsid w:val="00AB023D"/>
    <w:rsid w:val="00AC381E"/>
    <w:rsid w:val="00B4436F"/>
    <w:rsid w:val="00B80786"/>
    <w:rsid w:val="00BC7B0C"/>
    <w:rsid w:val="00C21A65"/>
    <w:rsid w:val="00C74C80"/>
    <w:rsid w:val="00CE0823"/>
    <w:rsid w:val="00D33AF9"/>
    <w:rsid w:val="00D363F7"/>
    <w:rsid w:val="00D72985"/>
    <w:rsid w:val="00D7508B"/>
    <w:rsid w:val="00D75101"/>
    <w:rsid w:val="00D94ED6"/>
    <w:rsid w:val="00D95234"/>
    <w:rsid w:val="00DB5EF6"/>
    <w:rsid w:val="00DC48A6"/>
    <w:rsid w:val="00DF0520"/>
    <w:rsid w:val="00DF6F7E"/>
    <w:rsid w:val="00E102D3"/>
    <w:rsid w:val="00E61AB8"/>
    <w:rsid w:val="00E65413"/>
    <w:rsid w:val="00E706DA"/>
    <w:rsid w:val="00E8253D"/>
    <w:rsid w:val="00E83E93"/>
    <w:rsid w:val="00E94FBF"/>
    <w:rsid w:val="00EA4B5B"/>
    <w:rsid w:val="00EB2320"/>
    <w:rsid w:val="00EE6533"/>
    <w:rsid w:val="00F857B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075CFD8-9EE7-41A1-8544-F0C1A75CC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91C"/>
  </w:style>
  <w:style w:type="paragraph" w:styleId="Ttulo1">
    <w:name w:val="heading 1"/>
    <w:basedOn w:val="Normal"/>
    <w:next w:val="Normal"/>
    <w:link w:val="Ttulo1Car"/>
    <w:uiPriority w:val="9"/>
    <w:qFormat/>
    <w:rsid w:val="00E83E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102A1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706D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basedOn w:val="Fuentedeprrafopredeter"/>
    <w:link w:val="Textonotapie"/>
    <w:uiPriority w:val="99"/>
    <w:rsid w:val="00E706DA"/>
    <w:rPr>
      <w:rFonts w:ascii="Times New Roman" w:eastAsia="Arial Unicode MS" w:hAnsi="Times New Roman" w:cs="Times New Roman"/>
      <w:sz w:val="20"/>
      <w:szCs w:val="20"/>
      <w:bdr w:val="nil"/>
    </w:rPr>
  </w:style>
  <w:style w:type="character" w:styleId="Refdenotaalpie">
    <w:name w:val="footnote reference"/>
    <w:basedOn w:val="Fuentedeprrafopredeter"/>
    <w:uiPriority w:val="99"/>
    <w:unhideWhenUsed/>
    <w:rsid w:val="00E706DA"/>
    <w:rPr>
      <w:vertAlign w:val="superscript"/>
    </w:rPr>
  </w:style>
  <w:style w:type="paragraph" w:styleId="Piedepgina">
    <w:name w:val="footer"/>
    <w:basedOn w:val="Normal"/>
    <w:link w:val="Piedepgina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PiedepginaCar">
    <w:name w:val="Pie de página Car"/>
    <w:basedOn w:val="Fuentedeprrafopredeter"/>
    <w:link w:val="Piedepgina"/>
    <w:uiPriority w:val="99"/>
    <w:rsid w:val="00E706DA"/>
    <w:rPr>
      <w:rFonts w:ascii="Times New Roman" w:eastAsia="Arial Unicode MS" w:hAnsi="Times New Roman" w:cs="Times New Roman"/>
      <w:sz w:val="24"/>
      <w:szCs w:val="24"/>
      <w:bdr w:val="nil"/>
    </w:rPr>
  </w:style>
  <w:style w:type="paragraph" w:styleId="Encabezado">
    <w:name w:val="header"/>
    <w:basedOn w:val="Normal"/>
    <w:link w:val="Encabezado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EncabezadoCar">
    <w:name w:val="Encabezado Car"/>
    <w:basedOn w:val="Fuentedeprrafopredeter"/>
    <w:link w:val="Encabezado"/>
    <w:uiPriority w:val="99"/>
    <w:rsid w:val="00E706DA"/>
    <w:rPr>
      <w:rFonts w:ascii="Times New Roman" w:eastAsia="Arial Unicode MS" w:hAnsi="Times New Roman" w:cs="Times New Roman"/>
      <w:sz w:val="24"/>
      <w:szCs w:val="24"/>
      <w:bdr w:val="nil"/>
    </w:rPr>
  </w:style>
  <w:style w:type="table" w:styleId="Tabladecuadrcula1clara">
    <w:name w:val="Grid Table 1 Light"/>
    <w:basedOn w:val="Tablanormal"/>
    <w:uiPriority w:val="46"/>
    <w:rsid w:val="00E706DA"/>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basedOn w:val="Normal"/>
    <w:link w:val="PrrafodelistaCar"/>
    <w:uiPriority w:val="34"/>
    <w:qFormat/>
    <w:rsid w:val="00E706DA"/>
    <w:pPr>
      <w:ind w:left="720"/>
      <w:contextualSpacing/>
    </w:pPr>
  </w:style>
  <w:style w:type="paragraph" w:styleId="Textodeglobo">
    <w:name w:val="Balloon Text"/>
    <w:basedOn w:val="Normal"/>
    <w:link w:val="TextodegloboCar"/>
    <w:uiPriority w:val="99"/>
    <w:semiHidden/>
    <w:unhideWhenUsed/>
    <w:rsid w:val="005A32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3267"/>
    <w:rPr>
      <w:rFonts w:ascii="Segoe UI" w:hAnsi="Segoe UI" w:cs="Segoe UI"/>
      <w:sz w:val="18"/>
      <w:szCs w:val="18"/>
    </w:rPr>
  </w:style>
  <w:style w:type="character" w:customStyle="1" w:styleId="Ttulo1Car">
    <w:name w:val="Título 1 Car"/>
    <w:basedOn w:val="Fuentedeprrafopredeter"/>
    <w:link w:val="Ttulo1"/>
    <w:uiPriority w:val="9"/>
    <w:rsid w:val="00E83E93"/>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link w:val="Prrafodelista"/>
    <w:uiPriority w:val="34"/>
    <w:locked/>
    <w:rsid w:val="00E83E93"/>
  </w:style>
  <w:style w:type="paragraph" w:styleId="TtulodeTDC">
    <w:name w:val="TOC Heading"/>
    <w:basedOn w:val="Ttulo1"/>
    <w:next w:val="Normal"/>
    <w:uiPriority w:val="39"/>
    <w:unhideWhenUsed/>
    <w:qFormat/>
    <w:rsid w:val="00E83E93"/>
    <w:pPr>
      <w:outlineLvl w:val="9"/>
    </w:pPr>
    <w:rPr>
      <w:lang w:eastAsia="es-MX"/>
    </w:rPr>
  </w:style>
  <w:style w:type="paragraph" w:styleId="TDC1">
    <w:name w:val="toc 1"/>
    <w:basedOn w:val="Normal"/>
    <w:next w:val="Normal"/>
    <w:autoRedefine/>
    <w:uiPriority w:val="39"/>
    <w:unhideWhenUsed/>
    <w:rsid w:val="00E83E93"/>
    <w:pPr>
      <w:spacing w:after="100"/>
    </w:pPr>
  </w:style>
  <w:style w:type="character" w:styleId="Hipervnculo">
    <w:name w:val="Hyperlink"/>
    <w:basedOn w:val="Fuentedeprrafopredeter"/>
    <w:uiPriority w:val="99"/>
    <w:unhideWhenUsed/>
    <w:rsid w:val="00E83E93"/>
    <w:rPr>
      <w:color w:val="0563C1" w:themeColor="hyperlink"/>
      <w:u w:val="single"/>
    </w:rPr>
  </w:style>
  <w:style w:type="paragraph" w:styleId="Sinespaciado">
    <w:name w:val="No Spacing"/>
    <w:uiPriority w:val="1"/>
    <w:qFormat/>
    <w:rsid w:val="00850252"/>
    <w:pPr>
      <w:spacing w:after="0" w:line="240" w:lineRule="auto"/>
    </w:pPr>
  </w:style>
  <w:style w:type="character" w:customStyle="1" w:styleId="apple-converted-space">
    <w:name w:val="apple-converted-space"/>
    <w:basedOn w:val="Fuentedeprrafopredeter"/>
    <w:rsid w:val="0046491C"/>
  </w:style>
  <w:style w:type="character" w:customStyle="1" w:styleId="Ttulo2Car">
    <w:name w:val="Título 2 Car"/>
    <w:basedOn w:val="Fuentedeprrafopredeter"/>
    <w:link w:val="Ttulo2"/>
    <w:uiPriority w:val="9"/>
    <w:rsid w:val="00102A1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2192602">
      <w:bodyDiv w:val="1"/>
      <w:marLeft w:val="0"/>
      <w:marRight w:val="0"/>
      <w:marTop w:val="0"/>
      <w:marBottom w:val="0"/>
      <w:divBdr>
        <w:top w:val="none" w:sz="0" w:space="0" w:color="auto"/>
        <w:left w:val="none" w:sz="0" w:space="0" w:color="auto"/>
        <w:bottom w:val="none" w:sz="0" w:space="0" w:color="auto"/>
        <w:right w:val="none" w:sz="0" w:space="0" w:color="auto"/>
      </w:divBdr>
    </w:div>
    <w:div w:id="2025355481">
      <w:bodyDiv w:val="1"/>
      <w:marLeft w:val="0"/>
      <w:marRight w:val="0"/>
      <w:marTop w:val="0"/>
      <w:marBottom w:val="0"/>
      <w:divBdr>
        <w:top w:val="none" w:sz="0" w:space="0" w:color="auto"/>
        <w:left w:val="none" w:sz="0" w:space="0" w:color="auto"/>
        <w:bottom w:val="none" w:sz="0" w:space="0" w:color="auto"/>
        <w:right w:val="none" w:sz="0" w:space="0" w:color="auto"/>
      </w:divBdr>
    </w:div>
    <w:div w:id="2121947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70CB6-7745-4DC8-AEF4-88229C187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1477</Words>
  <Characters>8125</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2018-08-20T22:10:00Z</cp:lastPrinted>
  <dcterms:created xsi:type="dcterms:W3CDTF">2018-11-06T19:05:00Z</dcterms:created>
  <dcterms:modified xsi:type="dcterms:W3CDTF">2018-11-06T19:11:00Z</dcterms:modified>
</cp:coreProperties>
</file>